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29A" w:rsidRPr="00EF345B" w:rsidRDefault="00FF729A">
      <w:pPr>
        <w:rPr>
          <w:i/>
          <w:sz w:val="32"/>
          <w:u w:val="single"/>
        </w:rPr>
      </w:pPr>
      <w:r w:rsidRPr="00EF345B">
        <w:rPr>
          <w:sz w:val="32"/>
          <w:u w:val="single"/>
        </w:rPr>
        <w:t xml:space="preserve">WAHR ODER FALSCH </w:t>
      </w:r>
      <w:r w:rsidR="00EF345B" w:rsidRPr="00EF345B">
        <w:rPr>
          <w:sz w:val="32"/>
          <w:u w:val="single"/>
        </w:rPr>
        <w:t xml:space="preserve">– STATEMENTS </w:t>
      </w:r>
      <w:r w:rsidRPr="00EF345B">
        <w:rPr>
          <w:sz w:val="32"/>
          <w:u w:val="single"/>
        </w:rPr>
        <w:br/>
      </w:r>
    </w:p>
    <w:p w:rsidR="00CB150B" w:rsidRPr="00D059F5" w:rsidRDefault="00FF729A" w:rsidP="00D059F5">
      <w:pPr>
        <w:pStyle w:val="Listenabsatz"/>
        <w:numPr>
          <w:ilvl w:val="0"/>
          <w:numId w:val="1"/>
        </w:numPr>
        <w:rPr>
          <w:b/>
          <w:i/>
        </w:rPr>
      </w:pPr>
      <w:r w:rsidRPr="00D059F5">
        <w:rPr>
          <w:b/>
          <w:i/>
        </w:rPr>
        <w:t xml:space="preserve">Die Gesellschafter einer GmbH sind die geborenen Vertreter der Gesellschaft im Rechtsverkehr. </w:t>
      </w:r>
    </w:p>
    <w:p w:rsidR="00FF729A" w:rsidRDefault="00CB150B" w:rsidP="00D62660">
      <w:pPr>
        <w:ind w:left="708"/>
      </w:pPr>
      <w:r>
        <w:sym w:font="Wingdings" w:char="F0E0"/>
      </w:r>
      <w:r>
        <w:t xml:space="preserve"> Falsch. </w:t>
      </w:r>
      <w:r w:rsidR="00D059F5">
        <w:br/>
      </w:r>
      <w:r>
        <w:t>Nicht der Gesellschafter, sondern der Geschäftsführer vertritt di</w:t>
      </w:r>
      <w:r w:rsidR="00D62660">
        <w:t xml:space="preserve">e Gesellschaft im Rechtsverkehr </w:t>
      </w:r>
      <w:r>
        <w:t>§35 Abs.1 S.1 GmbHG</w:t>
      </w:r>
      <w:r>
        <w:br/>
        <w:t>Bei Kapitalgesellschaften (wie hier die</w:t>
      </w:r>
      <w:r w:rsidR="00D62660">
        <w:t xml:space="preserve"> GmbH) gilt die Fremdorganschaft.</w:t>
      </w:r>
      <w:r>
        <w:br/>
      </w:r>
    </w:p>
    <w:p w:rsidR="00FF729A" w:rsidRDefault="00FF729A" w:rsidP="00D059F5">
      <w:pPr>
        <w:pStyle w:val="Listenabsatz"/>
        <w:numPr>
          <w:ilvl w:val="0"/>
          <w:numId w:val="1"/>
        </w:numPr>
      </w:pPr>
      <w:r w:rsidRPr="00D059F5">
        <w:rPr>
          <w:b/>
          <w:i/>
        </w:rPr>
        <w:t>Der Wirtschaftsverein nach §22 BGB ist eine praktische Rechtsformalternative zur GmbH und AG, weil er nicht die Aufbringung eines Mindestkapitals voraussetzt.</w:t>
      </w:r>
      <w:r w:rsidRPr="00D059F5">
        <w:rPr>
          <w:i/>
        </w:rPr>
        <w:t xml:space="preserve"> </w:t>
      </w:r>
      <w:r>
        <w:br/>
      </w:r>
      <w:r>
        <w:sym w:font="Wingdings" w:char="F0E0"/>
      </w:r>
      <w:r w:rsidR="00011D13">
        <w:t xml:space="preserve"> Falsch. </w:t>
      </w:r>
      <w:r w:rsidR="00EF345B">
        <w:br/>
      </w:r>
      <w:r w:rsidR="00011D13">
        <w:t>Eine</w:t>
      </w:r>
      <w:r>
        <w:t xml:space="preserve"> Konzession </w:t>
      </w:r>
      <w:r w:rsidR="00011D13">
        <w:t xml:space="preserve">(staatliche Verleihung) wird </w:t>
      </w:r>
      <w:r w:rsidR="00D62660">
        <w:t xml:space="preserve">dazu </w:t>
      </w:r>
      <w:r w:rsidR="00011D13">
        <w:t>benötigt. Diese wird vom Staat verliehen und ist daher nicht leicht zu erlangen.</w:t>
      </w:r>
    </w:p>
    <w:p w:rsidR="00FF729A" w:rsidRDefault="00FF729A"/>
    <w:p w:rsidR="00FF729A" w:rsidRPr="00D059F5" w:rsidRDefault="00FF729A" w:rsidP="00D059F5">
      <w:pPr>
        <w:pStyle w:val="Listenabsatz"/>
        <w:numPr>
          <w:ilvl w:val="0"/>
          <w:numId w:val="1"/>
        </w:numPr>
        <w:rPr>
          <w:b/>
          <w:i/>
        </w:rPr>
      </w:pPr>
      <w:r w:rsidRPr="00D059F5">
        <w:rPr>
          <w:b/>
          <w:i/>
        </w:rPr>
        <w:t>Wenn der Leiter des Geschäftsbereichs einer</w:t>
      </w:r>
      <w:r w:rsidR="00011D13" w:rsidRPr="00D059F5">
        <w:rPr>
          <w:b/>
          <w:i/>
        </w:rPr>
        <w:t xml:space="preserve"> AG bei Ausübung seiner Dienst</w:t>
      </w:r>
      <w:r w:rsidRPr="00D059F5">
        <w:rPr>
          <w:b/>
          <w:i/>
        </w:rPr>
        <w:t>e das Eigentum eines Dritten schädigt, haftet die AG hierfür nicht, wenn der Leiter vom Vorstand sorgfältig ausgewählt und angewiesen wurde.</w:t>
      </w:r>
    </w:p>
    <w:p w:rsidR="007636FE" w:rsidRDefault="00FF729A" w:rsidP="00D059F5">
      <w:pPr>
        <w:ind w:left="708"/>
        <w:rPr>
          <w:color w:val="FF0000"/>
        </w:rPr>
      </w:pPr>
      <w:r w:rsidRPr="00E21C0A">
        <w:rPr>
          <w:color w:val="FF0000"/>
        </w:rPr>
        <w:sym w:font="Wingdings" w:char="F0E0"/>
      </w:r>
      <w:r w:rsidR="007636FE" w:rsidRPr="00E21C0A">
        <w:rPr>
          <w:color w:val="FF0000"/>
        </w:rPr>
        <w:t xml:space="preserve"> Falsch. </w:t>
      </w:r>
      <w:r w:rsidR="007636FE" w:rsidRPr="00E21C0A">
        <w:rPr>
          <w:color w:val="FF0000"/>
        </w:rPr>
        <w:br/>
        <w:t xml:space="preserve">Nach §31 BGB haftet die AG für den Schaden, den ein Vorstand, ein Mitglied des Vorstand oder ein anderer verfassungsmäßig berufener Vertreter einem Dritten zufügt. Diese Handlung muss in Ausführung der ihm zustehenden Verrichtungen begangen worden sein. </w:t>
      </w:r>
    </w:p>
    <w:p w:rsidR="00D059F5" w:rsidRPr="00E21C0A" w:rsidRDefault="00D059F5" w:rsidP="00D059F5">
      <w:pPr>
        <w:ind w:left="708"/>
        <w:rPr>
          <w:color w:val="FF0000"/>
        </w:rPr>
      </w:pPr>
      <w:r>
        <w:rPr>
          <w:color w:val="FF0000"/>
        </w:rPr>
        <w:t>823 BGB ?!</w:t>
      </w:r>
    </w:p>
    <w:p w:rsidR="005E35FC" w:rsidRPr="00E21C0A" w:rsidRDefault="005E35FC" w:rsidP="00D059F5">
      <w:pPr>
        <w:ind w:left="708"/>
        <w:rPr>
          <w:color w:val="FF0000"/>
        </w:rPr>
      </w:pPr>
      <w:r w:rsidRPr="00E21C0A">
        <w:rPr>
          <w:color w:val="FF0000"/>
        </w:rPr>
        <w:sym w:font="Wingdings" w:char="F0E0"/>
      </w:r>
      <w:r w:rsidRPr="00E21C0A">
        <w:rPr>
          <w:color w:val="FF0000"/>
        </w:rPr>
        <w:t xml:space="preserve"> Richtig. </w:t>
      </w:r>
    </w:p>
    <w:p w:rsidR="00D059F5" w:rsidRDefault="005E35FC" w:rsidP="00D059F5">
      <w:pPr>
        <w:ind w:left="708"/>
        <w:rPr>
          <w:color w:val="FF0000"/>
        </w:rPr>
      </w:pPr>
      <w:r w:rsidRPr="00E21C0A">
        <w:rPr>
          <w:color w:val="FF0000"/>
        </w:rPr>
        <w:t>Nach §831 BGB kann sich die AG von der Schuld befreien</w:t>
      </w:r>
      <w:r w:rsidR="00D059F5">
        <w:rPr>
          <w:color w:val="FF0000"/>
        </w:rPr>
        <w:t xml:space="preserve"> (</w:t>
      </w:r>
      <w:proofErr w:type="spellStart"/>
      <w:r w:rsidR="00D059F5">
        <w:rPr>
          <w:color w:val="FF0000"/>
        </w:rPr>
        <w:t>Exculpation</w:t>
      </w:r>
      <w:proofErr w:type="spellEnd"/>
      <w:r w:rsidR="00D059F5">
        <w:rPr>
          <w:color w:val="FF0000"/>
        </w:rPr>
        <w:t>)</w:t>
      </w:r>
      <w:r w:rsidRPr="00E21C0A">
        <w:rPr>
          <w:color w:val="FF0000"/>
        </w:rPr>
        <w:t>, wenn sie den Verrichtungsgehilfen (Geschäftsbereichsleiter der AG)  sorgfältig ausgewählt angewiesen (überwacht) hat. Ist der Leiter des Geschäftsbereichs einer AG Verrichtungsgehilfe?</w:t>
      </w:r>
      <w:r w:rsidR="00E21C0A" w:rsidRPr="00E21C0A">
        <w:rPr>
          <w:color w:val="FF0000"/>
        </w:rPr>
        <w:t xml:space="preserve"> </w:t>
      </w:r>
    </w:p>
    <w:p w:rsidR="00D62660" w:rsidRDefault="00D62660" w:rsidP="00D059F5">
      <w:pPr>
        <w:ind w:left="708"/>
        <w:rPr>
          <w:color w:val="FF0000"/>
        </w:rPr>
      </w:pPr>
      <w:r>
        <w:rPr>
          <w:color w:val="FF0000"/>
        </w:rPr>
        <w:t>Welcher § gilt???</w:t>
      </w:r>
    </w:p>
    <w:p w:rsidR="00D059F5" w:rsidRDefault="00D059F5" w:rsidP="00D059F5">
      <w:pPr>
        <w:ind w:left="708"/>
        <w:rPr>
          <w:color w:val="FF0000"/>
        </w:rPr>
      </w:pPr>
    </w:p>
    <w:p w:rsidR="00FF729A" w:rsidRPr="00EF345B" w:rsidRDefault="00011D13" w:rsidP="00EF345B">
      <w:pPr>
        <w:pStyle w:val="Listenabsatz"/>
        <w:numPr>
          <w:ilvl w:val="0"/>
          <w:numId w:val="1"/>
        </w:numPr>
        <w:ind w:left="709" w:hanging="709"/>
        <w:rPr>
          <w:color w:val="FF0000"/>
        </w:rPr>
      </w:pPr>
      <w:r w:rsidRPr="00D059F5">
        <w:rPr>
          <w:b/>
          <w:i/>
        </w:rPr>
        <w:t xml:space="preserve">Die </w:t>
      </w:r>
      <w:r w:rsidR="00FF729A" w:rsidRPr="00D059F5">
        <w:rPr>
          <w:b/>
          <w:i/>
        </w:rPr>
        <w:t>AG entsteht als rechtsfähige Gesellschaft mit der Feststellung der Satzung und der Übernahme der Aktien durch die Gründungsaktionäre.</w:t>
      </w:r>
      <w:r w:rsidR="00FF729A" w:rsidRPr="00D059F5">
        <w:rPr>
          <w:i/>
        </w:rPr>
        <w:br/>
      </w:r>
      <w:r w:rsidR="00FF729A">
        <w:sym w:font="Wingdings" w:char="F0E0"/>
      </w:r>
      <w:r w:rsidR="00EF345B">
        <w:t xml:space="preserve">  Falsch. </w:t>
      </w:r>
      <w:r w:rsidR="00EF345B">
        <w:br/>
        <w:t>E</w:t>
      </w:r>
      <w:r w:rsidR="00FF729A">
        <w:t>ntsteht erst mit der Eintragung  §41</w:t>
      </w:r>
      <w:r w:rsidR="00D62660">
        <w:t xml:space="preserve"> AktG</w:t>
      </w:r>
      <w:r w:rsidR="00FF729A">
        <w:t xml:space="preserve">. Denn wir haben ein dreistufiges </w:t>
      </w:r>
      <w:r w:rsidR="00E21C0A">
        <w:t>Gründungss</w:t>
      </w:r>
      <w:r w:rsidR="00FF729A">
        <w:t xml:space="preserve">zenario: </w:t>
      </w:r>
      <w:r w:rsidR="00E21C0A">
        <w:br/>
        <w:t xml:space="preserve">1. </w:t>
      </w:r>
      <w:r w:rsidR="00FF729A">
        <w:t>Vorvertrags-</w:t>
      </w:r>
      <w:r w:rsidR="00E21C0A">
        <w:t xml:space="preserve"> bzw. Vorgründungsgesellschaft (Gründungsentschluss=Plan zur Errichtung einer AG)</w:t>
      </w:r>
      <w:r w:rsidR="00EF345B">
        <w:br/>
      </w:r>
      <w:r w:rsidR="00E21C0A">
        <w:t>2. Vor-AG (Feststellung der Satzung §2,23 AktG und Übernahme = Zeichnung der Aktien §23 II Nr.2, §29 AktG</w:t>
      </w:r>
      <w:r w:rsidR="00F457FC">
        <w:t>)</w:t>
      </w:r>
      <w:r w:rsidR="00E21C0A">
        <w:sym w:font="Wingdings" w:char="F0E0"/>
      </w:r>
      <w:r w:rsidR="00E21C0A">
        <w:t xml:space="preserve"> Errichtung der AG</w:t>
      </w:r>
      <w:r w:rsidR="00E21C0A">
        <w:br/>
        <w:t xml:space="preserve">3. </w:t>
      </w:r>
      <w:r w:rsidR="00FF729A">
        <w:t xml:space="preserve"> „fertige“ AG</w:t>
      </w:r>
      <w:r w:rsidR="00F457FC">
        <w:t xml:space="preserve"> entsteht (Eintragung §41 I 1 AktG, konstitutiv) </w:t>
      </w:r>
    </w:p>
    <w:p w:rsidR="00F457FC" w:rsidRDefault="00F457FC"/>
    <w:p w:rsidR="00F457FC" w:rsidRDefault="00FF729A" w:rsidP="00D059F5">
      <w:pPr>
        <w:pStyle w:val="Listenabsatz"/>
        <w:numPr>
          <w:ilvl w:val="0"/>
          <w:numId w:val="1"/>
        </w:numPr>
      </w:pPr>
      <w:r w:rsidRPr="00D059F5">
        <w:rPr>
          <w:b/>
          <w:i/>
        </w:rPr>
        <w:t>Das Verhältnis der Organe der AG untereinander ist durch eine Über-/Unterordnung geprägt</w:t>
      </w:r>
      <w:r w:rsidR="00D059F5" w:rsidRPr="00D059F5">
        <w:rPr>
          <w:b/>
          <w:i/>
        </w:rPr>
        <w:t>.</w:t>
      </w:r>
      <w:r w:rsidR="00D34D94">
        <w:br/>
      </w:r>
      <w:r w:rsidR="00D34D94">
        <w:sym w:font="Wingdings" w:char="F0E0"/>
      </w:r>
      <w:r w:rsidR="00D34D94">
        <w:t xml:space="preserve"> </w:t>
      </w:r>
      <w:r w:rsidR="00F457FC">
        <w:t>Falsch. Es g</w:t>
      </w:r>
      <w:r w:rsidR="00D34D94">
        <w:t xml:space="preserve">ilt das Verhältnis der </w:t>
      </w:r>
      <w:r w:rsidR="00F457FC" w:rsidRPr="00D059F5">
        <w:rPr>
          <w:u w:val="single"/>
        </w:rPr>
        <w:t>Gleichordnung</w:t>
      </w:r>
      <w:r w:rsidR="00F457FC">
        <w:t xml:space="preserve"> </w:t>
      </w:r>
      <w:r w:rsidR="00F457FC">
        <w:br/>
        <w:t xml:space="preserve">- </w:t>
      </w:r>
      <w:r w:rsidR="00D34D94">
        <w:t>§</w:t>
      </w:r>
      <w:r w:rsidR="00F457FC">
        <w:t xml:space="preserve"> </w:t>
      </w:r>
      <w:r w:rsidR="00D34D94">
        <w:t>76</w:t>
      </w:r>
      <w:r w:rsidR="00F457FC">
        <w:t xml:space="preserve"> AktG</w:t>
      </w:r>
      <w:r w:rsidR="00D34D94">
        <w:t xml:space="preserve"> </w:t>
      </w:r>
      <w:r w:rsidR="00F457FC">
        <w:t xml:space="preserve">– Vorstand leitet unter </w:t>
      </w:r>
      <w:r w:rsidR="00F457FC" w:rsidRPr="00D059F5">
        <w:rPr>
          <w:u w:val="single"/>
        </w:rPr>
        <w:t>eigener</w:t>
      </w:r>
      <w:r w:rsidR="00F457FC">
        <w:t xml:space="preserve"> Verantwortung, </w:t>
      </w:r>
      <w:r w:rsidR="00F457FC" w:rsidRPr="00D059F5">
        <w:rPr>
          <w:u w:val="single"/>
        </w:rPr>
        <w:t>kein Weisungsrecht</w:t>
      </w:r>
      <w:r w:rsidR="00F457FC">
        <w:t xml:space="preserve"> der Aktionäre / des Aufsichtsrats</w:t>
      </w:r>
      <w:r w:rsidR="00F457FC">
        <w:br/>
        <w:t>- § 111 Abs.4 AktG – Maßnahmen der Geschäftsführung können dem Aufsichtsrat nicht übertragen werden</w:t>
      </w:r>
    </w:p>
    <w:p w:rsidR="00FF729A" w:rsidRDefault="00F457FC" w:rsidP="00D059F5">
      <w:pPr>
        <w:ind w:left="708"/>
      </w:pPr>
      <w:r>
        <w:lastRenderedPageBreak/>
        <w:t xml:space="preserve">- § 111 Abs.1 AktG Aufsichtsrat überwacht die Geschäftsführung </w:t>
      </w:r>
      <w:r>
        <w:br/>
        <w:t xml:space="preserve">- §119 Abs. 2 Über Fragen der Geschäftsführung kann die Hauptversammlung nur entscheiden, wenn der </w:t>
      </w:r>
      <w:r w:rsidR="0056059E">
        <w:t xml:space="preserve">Vorstand es verlangt </w:t>
      </w:r>
    </w:p>
    <w:p w:rsidR="00D34D94" w:rsidRDefault="00D34D94"/>
    <w:p w:rsidR="0056059E" w:rsidRDefault="00D34D94" w:rsidP="00D059F5">
      <w:pPr>
        <w:pStyle w:val="Listenabsatz"/>
        <w:numPr>
          <w:ilvl w:val="0"/>
          <w:numId w:val="1"/>
        </w:numPr>
      </w:pPr>
      <w:r w:rsidRPr="00D059F5">
        <w:rPr>
          <w:b/>
          <w:i/>
        </w:rPr>
        <w:t xml:space="preserve">Wenn </w:t>
      </w:r>
      <w:r w:rsidR="00011D13" w:rsidRPr="00D059F5">
        <w:rPr>
          <w:b/>
          <w:i/>
        </w:rPr>
        <w:t xml:space="preserve">der </w:t>
      </w:r>
      <w:r w:rsidRPr="00D059F5">
        <w:rPr>
          <w:b/>
          <w:i/>
        </w:rPr>
        <w:t xml:space="preserve">Vorstand einer AG beschließt, in ein innovatives Produkt zu investieren und sich jenes Produkt später als schwer verkäuflich erweist, weil ein Konkurrent unerwartet ein noch besseres Produkt auf den Markt bringt, haftet der Vorstand der AG für die Fehlinvestition. </w:t>
      </w:r>
      <w:r>
        <w:br/>
      </w:r>
      <w:r>
        <w:sym w:font="Wingdings" w:char="F0E0"/>
      </w:r>
      <w:r>
        <w:t xml:space="preserve"> </w:t>
      </w:r>
      <w:r w:rsidR="0056059E">
        <w:t xml:space="preserve">Falsch. </w:t>
      </w:r>
    </w:p>
    <w:p w:rsidR="00D34D94" w:rsidRDefault="0056059E" w:rsidP="00D059F5">
      <w:pPr>
        <w:ind w:left="708"/>
      </w:pPr>
      <w:r>
        <w:t xml:space="preserve">Nach § 93 Abs.1 S.2 (Business </w:t>
      </w:r>
      <w:proofErr w:type="spellStart"/>
      <w:r>
        <w:t>Judgement</w:t>
      </w:r>
      <w:proofErr w:type="spellEnd"/>
      <w:r>
        <w:t xml:space="preserve"> </w:t>
      </w:r>
      <w:proofErr w:type="spellStart"/>
      <w:r>
        <w:t>rule</w:t>
      </w:r>
      <w:proofErr w:type="spellEnd"/>
      <w:r>
        <w:t>) liegt keine Pflichtverletzung vor, wenn der Vorstand auf Grundlage angemessener Information zum Wohle der Gesellschaft handelt (Gewinnerzielungsabsicht, der Investition müssen angemessene Informationen zugrunde liegen - Marktforschung)</w:t>
      </w:r>
    </w:p>
    <w:p w:rsidR="00D34D94" w:rsidRDefault="00D34D94"/>
    <w:p w:rsidR="00D34D94" w:rsidRPr="00D059F5" w:rsidRDefault="00D34D94" w:rsidP="00D059F5">
      <w:pPr>
        <w:pStyle w:val="Listenabsatz"/>
        <w:numPr>
          <w:ilvl w:val="0"/>
          <w:numId w:val="1"/>
        </w:numPr>
        <w:rPr>
          <w:b/>
          <w:i/>
        </w:rPr>
      </w:pPr>
      <w:r w:rsidRPr="00D059F5">
        <w:rPr>
          <w:b/>
          <w:i/>
        </w:rPr>
        <w:t xml:space="preserve">In den Aufsichtsräten deutscher Kapitalgesellschaften sind die Arbeitnehmer umso mehr vertreten, je mehr Arbeitnehmer die Gesellschaft hat. </w:t>
      </w:r>
    </w:p>
    <w:p w:rsidR="0081550E" w:rsidRDefault="00D34D94" w:rsidP="00D059F5">
      <w:pPr>
        <w:ind w:left="708"/>
      </w:pPr>
      <w:r>
        <w:sym w:font="Wingdings" w:char="F0E0"/>
      </w:r>
      <w:r w:rsidR="0081550E">
        <w:t xml:space="preserve"> Richtig. </w:t>
      </w:r>
    </w:p>
    <w:p w:rsidR="0081550E" w:rsidRDefault="0081550E" w:rsidP="00D059F5">
      <w:pPr>
        <w:ind w:left="708"/>
      </w:pPr>
      <w:r>
        <w:t xml:space="preserve">- Montanmitbestimmung gilt nur für Eisen-/ Stahlindustrie und Bergbau – 50:50 </w:t>
      </w:r>
      <w:r>
        <w:br/>
        <w:t xml:space="preserve">- Mitbestimmungsgesetz gilt für Kapitalgesellschaften &gt; 2000 Arbeitnehmer 50:50 + Stichentscheid des Vorsitzenden </w:t>
      </w:r>
      <w:r>
        <w:br/>
        <w:t>- Drittelbeteiligungsgesetz gilt für Kapitalgesellschaften zwischen 500 und 2000 Arbeitnehmer</w:t>
      </w:r>
      <w:r w:rsidR="00D62660">
        <w:t>n 1/3 Arbeitnehmer 2/3 Eigner (z.B</w:t>
      </w:r>
      <w:r>
        <w:t>. Aktionäre)</w:t>
      </w:r>
    </w:p>
    <w:p w:rsidR="00D34D94" w:rsidRDefault="00D34D94"/>
    <w:p w:rsidR="0081550E" w:rsidRPr="00381A97" w:rsidRDefault="00D34D94" w:rsidP="00D059F5">
      <w:pPr>
        <w:pStyle w:val="Listenabsatz"/>
        <w:numPr>
          <w:ilvl w:val="0"/>
          <w:numId w:val="1"/>
        </w:numPr>
        <w:rPr>
          <w:highlight w:val="yellow"/>
        </w:rPr>
      </w:pPr>
      <w:r w:rsidRPr="00381A97">
        <w:rPr>
          <w:b/>
          <w:i/>
          <w:highlight w:val="yellow"/>
        </w:rPr>
        <w:t>Das Grundkapital der AG ist mit dem Gesellschaftsvermögen nicht identisch.</w:t>
      </w:r>
      <w:r w:rsidRPr="00381A97">
        <w:rPr>
          <w:i/>
          <w:highlight w:val="yellow"/>
        </w:rPr>
        <w:t xml:space="preserve"> </w:t>
      </w:r>
      <w:r w:rsidRPr="00381A97">
        <w:rPr>
          <w:i/>
          <w:highlight w:val="yellow"/>
        </w:rPr>
        <w:br/>
      </w:r>
      <w:r w:rsidRPr="00381A97">
        <w:rPr>
          <w:highlight w:val="yellow"/>
        </w:rPr>
        <w:sym w:font="Wingdings" w:char="F0E0"/>
      </w:r>
      <w:r w:rsidR="0081550E" w:rsidRPr="00381A97">
        <w:rPr>
          <w:highlight w:val="yellow"/>
        </w:rPr>
        <w:t xml:space="preserve"> Richtig. </w:t>
      </w:r>
    </w:p>
    <w:p w:rsidR="00D34D94" w:rsidRDefault="00D34D94" w:rsidP="00D059F5">
      <w:pPr>
        <w:ind w:left="708"/>
      </w:pPr>
      <w:r>
        <w:t>Alle Nennwerte der Aktien</w:t>
      </w:r>
      <w:r w:rsidR="0081550E">
        <w:t xml:space="preserve"> zusammenaddiert ergeben das Grundkapital. Das Grundkapital</w:t>
      </w:r>
      <w:r w:rsidR="00DB7850">
        <w:t xml:space="preserve"> </w:t>
      </w:r>
      <w:r w:rsidR="0081550E">
        <w:t xml:space="preserve">entspricht der </w:t>
      </w:r>
      <w:r w:rsidR="00DB7850">
        <w:t>Bilanzziffer</w:t>
      </w:r>
      <w:r w:rsidR="0081550E">
        <w:t>,</w:t>
      </w:r>
      <w:r w:rsidR="00DB7850">
        <w:t xml:space="preserve"> die auf </w:t>
      </w:r>
      <w:r w:rsidR="0081550E">
        <w:t xml:space="preserve">der </w:t>
      </w:r>
      <w:r w:rsidR="002956D8">
        <w:t>Passivseite steht. Gesellschaftsvermögen entspricht dem Wert der Aktien, das entspricht dem gesamten Vermögen der AG. A</w:t>
      </w:r>
      <w:r w:rsidR="00DB7850">
        <w:t xml:space="preserve">lles was </w:t>
      </w:r>
      <w:r w:rsidR="00D62660">
        <w:t xml:space="preserve">die </w:t>
      </w:r>
      <w:r w:rsidR="00DB7850">
        <w:t xml:space="preserve">AG besitzt. </w:t>
      </w:r>
    </w:p>
    <w:p w:rsidR="00DB7850" w:rsidRDefault="00DB7850"/>
    <w:p w:rsidR="00DB7850" w:rsidRDefault="00DB7850" w:rsidP="00D059F5">
      <w:pPr>
        <w:pStyle w:val="Listenabsatz"/>
        <w:numPr>
          <w:ilvl w:val="0"/>
          <w:numId w:val="1"/>
        </w:numPr>
      </w:pPr>
      <w:r w:rsidRPr="00D059F5">
        <w:rPr>
          <w:b/>
          <w:i/>
        </w:rPr>
        <w:t>Wenn Gründungsaktionär A sein bisher einzelkaufmännisch betriebenes Unternehmen in eine neu gegründete AG einbringen will, kann er dies problemlos so gestalten, dass er zunächst 1 Mio</w:t>
      </w:r>
      <w:r w:rsidR="00D62660">
        <w:rPr>
          <w:b/>
          <w:i/>
        </w:rPr>
        <w:t>.</w:t>
      </w:r>
      <w:r w:rsidRPr="00D059F5">
        <w:rPr>
          <w:b/>
          <w:i/>
        </w:rPr>
        <w:t xml:space="preserve"> Euro bar einbringt und die AG nach ihrer Gründung das Unternehmen für jenen </w:t>
      </w:r>
      <w:r w:rsidR="004D5FF4" w:rsidRPr="00D059F5">
        <w:rPr>
          <w:b/>
          <w:i/>
        </w:rPr>
        <w:t>Betrag</w:t>
      </w:r>
      <w:r w:rsidRPr="00D059F5">
        <w:rPr>
          <w:b/>
          <w:i/>
        </w:rPr>
        <w:t xml:space="preserve"> bei A im Wege des </w:t>
      </w:r>
      <w:proofErr w:type="spellStart"/>
      <w:r w:rsidRPr="00D059F5">
        <w:rPr>
          <w:b/>
          <w:i/>
        </w:rPr>
        <w:t>Assetdeals</w:t>
      </w:r>
      <w:proofErr w:type="spellEnd"/>
      <w:r w:rsidRPr="00D059F5">
        <w:rPr>
          <w:b/>
          <w:i/>
        </w:rPr>
        <w:t xml:space="preserve"> erwirbt.</w:t>
      </w:r>
      <w:r w:rsidRPr="00D059F5">
        <w:rPr>
          <w:i/>
        </w:rPr>
        <w:br/>
      </w:r>
      <w:r>
        <w:sym w:font="Wingdings" w:char="F0E0"/>
      </w:r>
      <w:r>
        <w:t xml:space="preserve"> </w:t>
      </w:r>
      <w:r w:rsidR="00504AF3">
        <w:t xml:space="preserve">Falsch. </w:t>
      </w:r>
      <w:r w:rsidR="00D059F5">
        <w:br/>
      </w:r>
      <w:r w:rsidR="00D62660">
        <w:t>Er k</w:t>
      </w:r>
      <w:r w:rsidR="00504AF3">
        <w:t xml:space="preserve">ann dies nicht problemlos gestalten. Grundsätzlich gilt die Bareinlagepflicht nach §54 Abs.2 </w:t>
      </w:r>
      <w:r w:rsidR="00D62660">
        <w:t xml:space="preserve">AktG </w:t>
      </w:r>
      <w:r w:rsidR="00504AF3">
        <w:t>mit Ausnahme der Sacheinlage nach §27 AktG. Im Falle einer Übernahme eines einzelkaufmännischen Unternehmens ist die Rede von einer „verdeckten Sacheinlage“ §27 A</w:t>
      </w:r>
      <w:r w:rsidR="00D62660">
        <w:t>bs.3 AktG.</w:t>
      </w:r>
      <w:r w:rsidR="00504AF3">
        <w:t xml:space="preserve"> Hier beste</w:t>
      </w:r>
      <w:r w:rsidR="00402871">
        <w:t xml:space="preserve">ht die Geldeinlagepflicht fort </w:t>
      </w:r>
      <w:r w:rsidR="00504AF3">
        <w:t>doch die Anrechnung des Sachwertes ist gewährt (§27 Abs.3 S.3)</w:t>
      </w:r>
      <w:r w:rsidR="00402871">
        <w:t>.</w:t>
      </w:r>
      <w:r w:rsidR="00E7546E">
        <w:t xml:space="preserve"> </w:t>
      </w:r>
      <w:r w:rsidR="00105B15">
        <w:t>A muss den Wert des Unternehmens beweisen.</w:t>
      </w:r>
    </w:p>
    <w:p w:rsidR="00504AF3" w:rsidRDefault="00504AF3"/>
    <w:p w:rsidR="00DB7850" w:rsidRPr="00D059F5" w:rsidRDefault="00DB7850" w:rsidP="00D059F5">
      <w:pPr>
        <w:pStyle w:val="Listenabsatz"/>
        <w:numPr>
          <w:ilvl w:val="0"/>
          <w:numId w:val="1"/>
        </w:numPr>
        <w:ind w:left="709" w:hanging="567"/>
        <w:rPr>
          <w:b/>
          <w:i/>
        </w:rPr>
      </w:pPr>
      <w:r w:rsidRPr="00D059F5">
        <w:rPr>
          <w:b/>
          <w:i/>
        </w:rPr>
        <w:t>Wenn eine AG von einem ihrer Aktionäre, dessen Auto zu einem um</w:t>
      </w:r>
      <w:r w:rsidR="00105B15" w:rsidRPr="00D059F5">
        <w:rPr>
          <w:b/>
          <w:i/>
        </w:rPr>
        <w:t xml:space="preserve"> 5</w:t>
      </w:r>
      <w:r w:rsidR="00D62660">
        <w:rPr>
          <w:b/>
          <w:i/>
        </w:rPr>
        <w:t>.</w:t>
      </w:r>
      <w:r w:rsidR="00105B15" w:rsidRPr="00D059F5">
        <w:rPr>
          <w:b/>
          <w:i/>
        </w:rPr>
        <w:t>000 Euro über der</w:t>
      </w:r>
      <w:r w:rsidRPr="00D059F5">
        <w:rPr>
          <w:b/>
          <w:i/>
        </w:rPr>
        <w:t xml:space="preserve"> </w:t>
      </w:r>
      <w:proofErr w:type="spellStart"/>
      <w:r w:rsidRPr="00D059F5">
        <w:rPr>
          <w:b/>
          <w:i/>
        </w:rPr>
        <w:t>Schwacke</w:t>
      </w:r>
      <w:proofErr w:type="spellEnd"/>
      <w:r w:rsidRPr="00D059F5">
        <w:rPr>
          <w:b/>
          <w:i/>
        </w:rPr>
        <w:t>-Liste liegenden Preis erwirbt, kann ihm auf diesem eleganten Weg gesellschaftsrechtlich zulässig eine Zusatzdivid</w:t>
      </w:r>
      <w:r w:rsidR="00381A97">
        <w:rPr>
          <w:b/>
          <w:i/>
        </w:rPr>
        <w:t>ende ausgezahlt werden.</w:t>
      </w:r>
    </w:p>
    <w:p w:rsidR="00105B15" w:rsidRDefault="00DB7850" w:rsidP="00D059F5">
      <w:pPr>
        <w:ind w:left="708"/>
      </w:pPr>
      <w:r>
        <w:sym w:font="Wingdings" w:char="F0E0"/>
      </w:r>
      <w:r>
        <w:t xml:space="preserve"> </w:t>
      </w:r>
      <w:r w:rsidR="009B4A84">
        <w:t xml:space="preserve">Falsch. </w:t>
      </w:r>
      <w:r w:rsidR="00D059F5">
        <w:br/>
      </w:r>
      <w:r w:rsidR="009B4A84">
        <w:t>Nach</w:t>
      </w:r>
      <w:r w:rsidR="00381A97">
        <w:t xml:space="preserve"> §57</w:t>
      </w:r>
      <w:r w:rsidR="00105B15">
        <w:t>Abs.1 S.1</w:t>
      </w:r>
      <w:r w:rsidR="00381A97">
        <w:t xml:space="preserve"> AktG</w:t>
      </w:r>
      <w:r w:rsidR="00105B15">
        <w:t xml:space="preserve"> d</w:t>
      </w:r>
      <w:r w:rsidR="009B4A84">
        <w:t>ürfen den Aktionären die Einlagen nicht zurückgewährt werden. Im vorliegenden Fall handelt es sich nicht um eine Einlage, sondern um eine verdeckte Gewinnausschüttung, welche genau so zu behandeln ist</w:t>
      </w:r>
      <w:r w:rsidR="00E86219">
        <w:t>, da der Grundsatz der Kapitalerhaltungsvorschriften gelten muss</w:t>
      </w:r>
      <w:r w:rsidR="009B4A84">
        <w:t xml:space="preserve">. Nach § 62 Abs.1 S.1 </w:t>
      </w:r>
      <w:r w:rsidR="00D62660">
        <w:lastRenderedPageBreak/>
        <w:t xml:space="preserve">AktG </w:t>
      </w:r>
      <w:r w:rsidR="009B4A84">
        <w:t>müssen verbotene Leistungen zurückgewährt werden (hier müsste A die 5000 Euro an die AG bezahlen)</w:t>
      </w:r>
      <w:r w:rsidR="00E86219">
        <w:t xml:space="preserve">. </w:t>
      </w:r>
    </w:p>
    <w:p w:rsidR="00CD6562" w:rsidRDefault="00CD6562"/>
    <w:p w:rsidR="00964420" w:rsidRDefault="00964420" w:rsidP="00964420"/>
    <w:p w:rsidR="00964420" w:rsidRPr="00D059F5" w:rsidRDefault="00964420" w:rsidP="00D059F5">
      <w:pPr>
        <w:pStyle w:val="Listenabsatz"/>
        <w:numPr>
          <w:ilvl w:val="0"/>
          <w:numId w:val="1"/>
        </w:numPr>
        <w:rPr>
          <w:b/>
          <w:i/>
        </w:rPr>
      </w:pPr>
      <w:r w:rsidRPr="00D059F5">
        <w:rPr>
          <w:b/>
          <w:i/>
        </w:rPr>
        <w:t xml:space="preserve">Der Kapitalschnitt ist eine radikale Verringerung des Gesellschaftsvermögens durch </w:t>
      </w:r>
      <w:proofErr w:type="spellStart"/>
      <w:r w:rsidRPr="00D059F5">
        <w:rPr>
          <w:b/>
          <w:i/>
        </w:rPr>
        <w:t>Auskehr</w:t>
      </w:r>
      <w:proofErr w:type="spellEnd"/>
      <w:r w:rsidRPr="00D059F5">
        <w:rPr>
          <w:b/>
          <w:i/>
        </w:rPr>
        <w:t xml:space="preserve"> nicht benö</w:t>
      </w:r>
      <w:r w:rsidR="00381A97">
        <w:rPr>
          <w:b/>
          <w:i/>
        </w:rPr>
        <w:t>tigter Mittel an die Aktionäre.</w:t>
      </w:r>
    </w:p>
    <w:p w:rsidR="00E53F0C" w:rsidRDefault="00166FEB" w:rsidP="00D059F5">
      <w:pPr>
        <w:ind w:left="708"/>
      </w:pPr>
      <w:r>
        <w:sym w:font="Wingdings" w:char="F0E0"/>
      </w:r>
      <w:r>
        <w:t xml:space="preserve"> </w:t>
      </w:r>
      <w:r w:rsidR="00964420" w:rsidRPr="00166FEB">
        <w:t>Falsch</w:t>
      </w:r>
      <w:r w:rsidR="00964420" w:rsidRPr="003D33BF">
        <w:t xml:space="preserve">. </w:t>
      </w:r>
    </w:p>
    <w:p w:rsidR="00E53F0C" w:rsidRDefault="00E53F0C" w:rsidP="00D059F5">
      <w:pPr>
        <w:ind w:left="708"/>
      </w:pPr>
      <w:r>
        <w:t>Bei einem Kapitalschnitt werden eine effektive Kapitalerhöhung und eine nominelle Kapitalherabsetzung durchgeführt.</w:t>
      </w:r>
    </w:p>
    <w:p w:rsidR="00E53F0C" w:rsidRDefault="00E53F0C" w:rsidP="00D059F5">
      <w:pPr>
        <w:ind w:left="708"/>
      </w:pPr>
      <w:r>
        <w:t>Bei der effektiven Kapitalerhöhung werden neue Aktien gegen Einlagen ausgegeben (§182 ff. AktG.). Bei der nominellen Kapitalherabsetzung werden mögliche Verlu</w:t>
      </w:r>
      <w:r w:rsidR="00FB5639">
        <w:t>ste buchhalterisch ausgeglichen, Bilanzverlust beseitigt (kein Abfluss liquider Mittel) §229 AktG. Ziel ist, dass der Wert der Aktien gleich bleibt und nicht durch Verluste des Vorjahres an Wert verliert.</w:t>
      </w:r>
    </w:p>
    <w:p w:rsidR="00E53F0C" w:rsidRDefault="005D0C30" w:rsidP="00D62660">
      <w:pPr>
        <w:ind w:left="708"/>
      </w:pPr>
      <w:r>
        <w:t xml:space="preserve">Demnach gilt beim Kapitalschnitt das genaue Gegenteil von diesem Statement. </w:t>
      </w:r>
    </w:p>
    <w:p w:rsidR="00964420" w:rsidRDefault="00964420" w:rsidP="00964420"/>
    <w:p w:rsidR="00964420" w:rsidRPr="00D059F5" w:rsidRDefault="00964420" w:rsidP="00D059F5">
      <w:pPr>
        <w:pStyle w:val="Listenabsatz"/>
        <w:numPr>
          <w:ilvl w:val="0"/>
          <w:numId w:val="1"/>
        </w:numPr>
        <w:rPr>
          <w:b/>
          <w:i/>
        </w:rPr>
      </w:pPr>
      <w:r w:rsidRPr="00D059F5">
        <w:rPr>
          <w:b/>
          <w:i/>
        </w:rPr>
        <w:t xml:space="preserve">Die GmbH entsteht als rechtsfähige Gesellschaft </w:t>
      </w:r>
      <w:r w:rsidRPr="00D62660">
        <w:rPr>
          <w:b/>
          <w:i/>
          <w:u w:val="single"/>
        </w:rPr>
        <w:t>nicht</w:t>
      </w:r>
      <w:r w:rsidRPr="00D059F5">
        <w:rPr>
          <w:b/>
          <w:i/>
        </w:rPr>
        <w:t xml:space="preserve"> schon mit Abschluss des not</w:t>
      </w:r>
      <w:r w:rsidR="00381A97">
        <w:rPr>
          <w:b/>
          <w:i/>
        </w:rPr>
        <w:t>ariellen Gesellschaftsvertrags.</w:t>
      </w:r>
    </w:p>
    <w:p w:rsidR="00D20E98" w:rsidRDefault="005D0C30" w:rsidP="00D059F5">
      <w:pPr>
        <w:ind w:left="708"/>
      </w:pPr>
      <w:r>
        <w:sym w:font="Wingdings" w:char="F0E0"/>
      </w:r>
      <w:r>
        <w:t xml:space="preserve"> </w:t>
      </w:r>
      <w:r w:rsidR="00964420">
        <w:t xml:space="preserve">Richtig. </w:t>
      </w:r>
    </w:p>
    <w:p w:rsidR="00D20E98" w:rsidRDefault="00D20E98" w:rsidP="00D059F5">
      <w:pPr>
        <w:ind w:left="708"/>
      </w:pPr>
      <w:r>
        <w:t xml:space="preserve">Mit Abschluss des notariellen Vertrags entsteht die Vor-GmbH §2 GmbHG. Zu diesem Zeitpunkt besteht die GmbH als solche nicht, die Gesellschafter haften persönlich und solidarisch §11 GmbHG. In der Vor-GmbH entsteht die juristische Person, diese ist aber noch nicht rechtsfähig. </w:t>
      </w:r>
    </w:p>
    <w:p w:rsidR="00D20E98" w:rsidRDefault="003C6C1B" w:rsidP="00D059F5">
      <w:pPr>
        <w:ind w:left="708"/>
      </w:pPr>
      <w:r>
        <w:t>Erst</w:t>
      </w:r>
      <w:r w:rsidR="00D62660">
        <w:t xml:space="preserve"> mit der Eintragung § 7 Abs.1, §10, §11</w:t>
      </w:r>
      <w:r>
        <w:t xml:space="preserve"> </w:t>
      </w:r>
      <w:r w:rsidR="00D20E98">
        <w:t xml:space="preserve">GmbHG entsteht die GmbH und ist damit rechtsfähig (konstitutiv).  </w:t>
      </w:r>
    </w:p>
    <w:p w:rsidR="00D20E98" w:rsidRDefault="00D20E98" w:rsidP="00964420"/>
    <w:p w:rsidR="00964420" w:rsidRPr="00D059F5" w:rsidRDefault="00964420" w:rsidP="00D059F5">
      <w:pPr>
        <w:pStyle w:val="Listenabsatz"/>
        <w:numPr>
          <w:ilvl w:val="0"/>
          <w:numId w:val="1"/>
        </w:numPr>
        <w:rPr>
          <w:b/>
          <w:i/>
        </w:rPr>
      </w:pPr>
      <w:r w:rsidRPr="00D059F5">
        <w:rPr>
          <w:b/>
          <w:i/>
        </w:rPr>
        <w:t>Das Verhältnis der Organe der GmbH untereinander ist durch e</w:t>
      </w:r>
      <w:r w:rsidR="0006161F">
        <w:rPr>
          <w:b/>
          <w:i/>
        </w:rPr>
        <w:t>ine Über-/Unterordnung geprägt.</w:t>
      </w:r>
    </w:p>
    <w:p w:rsidR="00B6487F" w:rsidRDefault="00B6487F" w:rsidP="00D059F5">
      <w:pPr>
        <w:ind w:left="708"/>
      </w:pPr>
      <w:r>
        <w:sym w:font="Wingdings" w:char="F0E0"/>
      </w:r>
      <w:r>
        <w:t xml:space="preserve"> </w:t>
      </w:r>
      <w:r w:rsidR="00964420">
        <w:t xml:space="preserve">Richtig. </w:t>
      </w:r>
    </w:p>
    <w:p w:rsidR="00964420" w:rsidRDefault="00B6487F" w:rsidP="00D059F5">
      <w:pPr>
        <w:ind w:left="708"/>
      </w:pPr>
      <w:r>
        <w:t>Die Über-/Unterordnung e</w:t>
      </w:r>
      <w:r w:rsidR="00964420">
        <w:t xml:space="preserve">rgibt sich aus  </w:t>
      </w:r>
      <w:r>
        <w:t xml:space="preserve">den §37 Abs. 1, §45 und §46 Nr.6  GmbHG. Die </w:t>
      </w:r>
      <w:r w:rsidR="003C6C1B">
        <w:t>Geschäftsführer</w:t>
      </w:r>
      <w:r>
        <w:t xml:space="preserve"> können im Innenverhältnis durch den Gesellschaftsvertrag an bestimmte Geschäfte gebunden werden. </w:t>
      </w:r>
      <w:r w:rsidR="003C6C1B">
        <w:t xml:space="preserve">Der Gesellschaftsvertrag ist von den Gesellschaftern zu unterzeichnen § 2 Abs.1 S.2 GmbHG. </w:t>
      </w:r>
    </w:p>
    <w:p w:rsidR="00964420" w:rsidRDefault="00964420" w:rsidP="00964420"/>
    <w:p w:rsidR="00964420" w:rsidRPr="00D059F5" w:rsidRDefault="003C6C1B" w:rsidP="00D059F5">
      <w:pPr>
        <w:pStyle w:val="Listenabsatz"/>
        <w:numPr>
          <w:ilvl w:val="0"/>
          <w:numId w:val="1"/>
        </w:numPr>
        <w:rPr>
          <w:b/>
          <w:i/>
        </w:rPr>
      </w:pPr>
      <w:r w:rsidRPr="00D059F5">
        <w:rPr>
          <w:b/>
          <w:i/>
        </w:rPr>
        <w:t>Wenn ein Gm</w:t>
      </w:r>
      <w:r w:rsidR="00964420" w:rsidRPr="00D059F5">
        <w:rPr>
          <w:b/>
          <w:i/>
        </w:rPr>
        <w:t>bH Geschäftsführer erhebliche Gelder in</w:t>
      </w:r>
      <w:r w:rsidRPr="00D059F5">
        <w:rPr>
          <w:b/>
          <w:i/>
        </w:rPr>
        <w:t xml:space="preserve"> d</w:t>
      </w:r>
      <w:r w:rsidR="00964420" w:rsidRPr="00D059F5">
        <w:rPr>
          <w:b/>
          <w:i/>
        </w:rPr>
        <w:t>en Erwerb von Lizenzen investiert, ohne vorher Marktanalysen erhoben zu haben ob jene Lizenzen zu vermarkten sind, haftet er der Gesellschaft für den daraus entstandenen Schaden.</w:t>
      </w:r>
    </w:p>
    <w:p w:rsidR="00420A99" w:rsidRDefault="00420A99" w:rsidP="00D059F5">
      <w:pPr>
        <w:ind w:left="708"/>
      </w:pPr>
      <w:r>
        <w:sym w:font="Wingdings" w:char="F0E0"/>
      </w:r>
      <w:r>
        <w:t xml:space="preserve"> Richtig</w:t>
      </w:r>
      <w:r w:rsidR="00964420" w:rsidRPr="001A250D">
        <w:t xml:space="preserve">. </w:t>
      </w:r>
    </w:p>
    <w:p w:rsidR="00420A99" w:rsidRDefault="00420A99" w:rsidP="00D059F5">
      <w:pPr>
        <w:ind w:left="708"/>
      </w:pPr>
      <w:r>
        <w:t xml:space="preserve">Nach </w:t>
      </w:r>
      <w:r w:rsidR="00964420" w:rsidRPr="001A250D">
        <w:t>§</w:t>
      </w:r>
      <w:r>
        <w:t xml:space="preserve"> </w:t>
      </w:r>
      <w:r w:rsidR="00964420" w:rsidRPr="001A250D">
        <w:t>43</w:t>
      </w:r>
      <w:r>
        <w:t xml:space="preserve"> Abs.1 +2 GmbHG haben Geschäftsführer eine Sorgfaltspflicht. Falls diese verletzt wird haften die Geschäftsführer solidarisch für den Schaden.</w:t>
      </w:r>
      <w:r w:rsidR="00964420" w:rsidRPr="001A250D">
        <w:t xml:space="preserve"> </w:t>
      </w:r>
      <w:r>
        <w:t xml:space="preserve">Hier wird auf die Business </w:t>
      </w:r>
      <w:proofErr w:type="spellStart"/>
      <w:r>
        <w:t>Judgement</w:t>
      </w:r>
      <w:proofErr w:type="spellEnd"/>
      <w:r>
        <w:t xml:space="preserve"> </w:t>
      </w:r>
      <w:proofErr w:type="spellStart"/>
      <w:r>
        <w:t>Rule</w:t>
      </w:r>
      <w:proofErr w:type="spellEnd"/>
      <w:r>
        <w:t xml:space="preserve"> §93 Abs.1 S.2 AktG verwiesen. Wenn der Geschäftsführer auf Grundlage angemessener Information zum Wohle der Gesellschaft handelt (Gewinnerzielungsabsicht, der Investition müssen angemessene Informationen zugrunde liegen - Marktforschung) liegt hingegen keine Pflichtverletzung vor. Der Geschäftsführer haftet dann nicht. </w:t>
      </w:r>
    </w:p>
    <w:p w:rsidR="00420A99" w:rsidRDefault="00420A99" w:rsidP="00D62660">
      <w:pPr>
        <w:ind w:left="708"/>
      </w:pPr>
      <w:r>
        <w:t xml:space="preserve">In diesem Fall lag keine Marktanalyse vor, der Geschäftsführer kann sich nicht auf die Grundlage angemessener Information berufen und die Business </w:t>
      </w:r>
      <w:proofErr w:type="spellStart"/>
      <w:r>
        <w:t>Judgement</w:t>
      </w:r>
      <w:proofErr w:type="spellEnd"/>
      <w:r>
        <w:t xml:space="preserve"> </w:t>
      </w:r>
      <w:proofErr w:type="spellStart"/>
      <w:r>
        <w:t>Rule</w:t>
      </w:r>
      <w:proofErr w:type="spellEnd"/>
      <w:r>
        <w:t xml:space="preserve"> greift nicht.</w:t>
      </w:r>
      <w:r w:rsidR="00D62660">
        <w:t xml:space="preserve"> </w:t>
      </w:r>
      <w:r>
        <w:t xml:space="preserve">Somit haftet der Geschäftsführer für den daraus entstandenen Schaden. </w:t>
      </w:r>
    </w:p>
    <w:p w:rsidR="00964420" w:rsidRDefault="00964420" w:rsidP="00964420"/>
    <w:p w:rsidR="00D90320" w:rsidRPr="00D059F5" w:rsidRDefault="00F93E2F" w:rsidP="00D059F5">
      <w:pPr>
        <w:pStyle w:val="Listenabsatz"/>
        <w:numPr>
          <w:ilvl w:val="0"/>
          <w:numId w:val="1"/>
        </w:numPr>
        <w:rPr>
          <w:b/>
          <w:i/>
        </w:rPr>
      </w:pPr>
      <w:r w:rsidRPr="00D059F5">
        <w:rPr>
          <w:b/>
          <w:i/>
        </w:rPr>
        <w:lastRenderedPageBreak/>
        <w:t>Wenn ein</w:t>
      </w:r>
      <w:r w:rsidR="00964420" w:rsidRPr="00D059F5">
        <w:rPr>
          <w:b/>
          <w:i/>
        </w:rPr>
        <w:t xml:space="preserve"> GmbH Geschäftsführer nach Eintritt der Zahlungsunfähigkeit oder Überschuldung einen Kunden der GmbH anweist, auf das debitorische Bankkonto der GmbH zu zahlen, löst dies seine Haftung gegenüber der GmbH aus. </w:t>
      </w:r>
    </w:p>
    <w:p w:rsidR="00A123FE" w:rsidRDefault="00F93E2F" w:rsidP="00D059F5">
      <w:pPr>
        <w:ind w:left="708"/>
      </w:pPr>
      <w:r>
        <w:sym w:font="Wingdings" w:char="F0E0"/>
      </w:r>
      <w:r>
        <w:t xml:space="preserve"> </w:t>
      </w:r>
      <w:r w:rsidR="00A123FE">
        <w:t>Richtig</w:t>
      </w:r>
      <w:r w:rsidR="00964420" w:rsidRPr="001A250D">
        <w:t>.</w:t>
      </w:r>
      <w:r w:rsidR="00964420">
        <w:t xml:space="preserve"> </w:t>
      </w:r>
    </w:p>
    <w:p w:rsidR="00A123FE" w:rsidRPr="001F113F" w:rsidRDefault="00A123FE" w:rsidP="00D059F5">
      <w:pPr>
        <w:ind w:left="708"/>
      </w:pPr>
      <w:r>
        <w:t xml:space="preserve">Nach </w:t>
      </w:r>
      <w:r w:rsidR="00964420">
        <w:t xml:space="preserve">§64 GmbHG </w:t>
      </w:r>
      <w:r>
        <w:t xml:space="preserve">haften </w:t>
      </w:r>
      <w:r w:rsidR="00964420">
        <w:t xml:space="preserve">Geschäftsführer auf </w:t>
      </w:r>
      <w:r w:rsidR="00964420" w:rsidRPr="00D62660">
        <w:t>Zahlungen</w:t>
      </w:r>
      <w:r w:rsidR="00964420">
        <w:t xml:space="preserve">. </w:t>
      </w:r>
      <w:r>
        <w:t xml:space="preserve">In diesem Fall handelt es sich nicht </w:t>
      </w:r>
      <w:r w:rsidRPr="001F113F">
        <w:t xml:space="preserve">um eine </w:t>
      </w:r>
      <w:r w:rsidR="009C38EE" w:rsidRPr="001F113F">
        <w:t xml:space="preserve">direkte </w:t>
      </w:r>
      <w:r w:rsidRPr="001F113F">
        <w:t>Auszahlu</w:t>
      </w:r>
      <w:r w:rsidR="009C38EE" w:rsidRPr="001F113F">
        <w:t>ng, sondern um eine Einzahlung.</w:t>
      </w:r>
    </w:p>
    <w:p w:rsidR="00A123FE" w:rsidRDefault="009C38EE" w:rsidP="00D059F5">
      <w:pPr>
        <w:ind w:left="708"/>
      </w:pPr>
      <w:r w:rsidRPr="001F113F">
        <w:t>Einz</w:t>
      </w:r>
      <w:r w:rsidR="00A123FE" w:rsidRPr="001F113F">
        <w:t xml:space="preserve">ahlungen auf das debitorische Bankkonto der GmbH entsprechen Zahlungen an </w:t>
      </w:r>
      <w:r w:rsidRPr="001F113F">
        <w:t xml:space="preserve">beispielsweise </w:t>
      </w:r>
      <w:r w:rsidR="00A123FE" w:rsidRPr="001F113F">
        <w:t xml:space="preserve">Kreditinstitute. </w:t>
      </w:r>
      <w:r w:rsidRPr="001F113F">
        <w:t>Daraus ergibt sich eine indirekte Auszahlung der GmbH, für welche nach § 64 S.1</w:t>
      </w:r>
      <w:r>
        <w:t xml:space="preserve"> GmbHG die Geschäftsführer haften. </w:t>
      </w:r>
      <w:r w:rsidR="00A123FE">
        <w:t xml:space="preserve"> </w:t>
      </w:r>
    </w:p>
    <w:p w:rsidR="00A123FE" w:rsidRDefault="00A123FE" w:rsidP="00964420"/>
    <w:p w:rsidR="00964420" w:rsidRDefault="00964420" w:rsidP="00964420"/>
    <w:p w:rsidR="009C38EE" w:rsidRDefault="00EF345B" w:rsidP="00EF345B">
      <w:pPr>
        <w:pStyle w:val="Listenabsatz"/>
        <w:numPr>
          <w:ilvl w:val="0"/>
          <w:numId w:val="1"/>
        </w:numPr>
        <w:ind w:left="567" w:hanging="567"/>
      </w:pPr>
      <w:r>
        <w:rPr>
          <w:b/>
          <w:i/>
        </w:rPr>
        <w:t xml:space="preserve"> </w:t>
      </w:r>
      <w:r w:rsidR="00964420" w:rsidRPr="00D059F5">
        <w:rPr>
          <w:b/>
          <w:i/>
        </w:rPr>
        <w:t>Die GmbH hat niemals einen Aufsichtsrat.</w:t>
      </w:r>
      <w:r w:rsidR="00964420" w:rsidRPr="00D059F5">
        <w:rPr>
          <w:i/>
        </w:rPr>
        <w:t xml:space="preserve"> </w:t>
      </w:r>
      <w:r w:rsidR="00964420" w:rsidRPr="00D059F5">
        <w:rPr>
          <w:i/>
        </w:rPr>
        <w:br/>
      </w:r>
      <w:r w:rsidR="009C38EE">
        <w:sym w:font="Wingdings" w:char="F0E0"/>
      </w:r>
      <w:r w:rsidR="009C38EE">
        <w:t xml:space="preserve"> Falsch</w:t>
      </w:r>
      <w:r w:rsidR="00964420">
        <w:t xml:space="preserve">. </w:t>
      </w:r>
    </w:p>
    <w:p w:rsidR="009C38EE" w:rsidRDefault="009C38EE" w:rsidP="00EF345B">
      <w:pPr>
        <w:ind w:left="708"/>
      </w:pPr>
      <w:r w:rsidRPr="001F113F">
        <w:t>Grundsätzlich gibt es z</w:t>
      </w:r>
      <w:r w:rsidR="00D62660">
        <w:t xml:space="preserve">war keinen Aufsichtsrat. Es </w:t>
      </w:r>
      <w:r w:rsidR="00D62660" w:rsidRPr="00D62660">
        <w:rPr>
          <w:u w:val="single"/>
        </w:rPr>
        <w:t>kann</w:t>
      </w:r>
      <w:r w:rsidRPr="001F113F">
        <w:t xml:space="preserve"> aber ein Aufsichtsrat gegründet werden</w:t>
      </w:r>
      <w:r w:rsidR="001F113F" w:rsidRPr="001F113F">
        <w:t xml:space="preserve">. </w:t>
      </w:r>
      <w:r w:rsidR="001F113F">
        <w:t>Das obliegt der Satzung der GmbH</w:t>
      </w:r>
      <w:r w:rsidR="001F113F" w:rsidRPr="001F113F">
        <w:t xml:space="preserve">. Man spricht </w:t>
      </w:r>
      <w:r w:rsidR="001F113F">
        <w:t xml:space="preserve">in diesem Fall </w:t>
      </w:r>
      <w:r w:rsidR="001F113F" w:rsidRPr="001F113F">
        <w:t>deshalb von e</w:t>
      </w:r>
      <w:r w:rsidR="001F113F">
        <w:t xml:space="preserve">inem fakultativen Aufsichtsrat. </w:t>
      </w:r>
      <w:r w:rsidR="001F113F">
        <w:br/>
        <w:t>B</w:t>
      </w:r>
      <w:r w:rsidR="001F113F" w:rsidRPr="001F113F">
        <w:t xml:space="preserve">ei einer Betriebsgröße von mehr als 500 Mitarbeitern </w:t>
      </w:r>
      <w:r w:rsidR="001F113F">
        <w:t xml:space="preserve">ist ein Aufsichtsrat </w:t>
      </w:r>
      <w:r w:rsidR="001F113F" w:rsidRPr="001F113F">
        <w:t xml:space="preserve">dennoch gesetzlich vorgeschrieben </w:t>
      </w:r>
      <w:r w:rsidR="001F113F">
        <w:t xml:space="preserve">(Unternehmensmitbestimmung). </w:t>
      </w:r>
      <w:r w:rsidR="0025130F">
        <w:t xml:space="preserve">Dann gelten die Regeln des § 52 </w:t>
      </w:r>
      <w:r w:rsidR="001F113F">
        <w:t>GmbHG.</w:t>
      </w:r>
    </w:p>
    <w:p w:rsidR="009C38EE" w:rsidRPr="001A250D" w:rsidRDefault="009C38EE" w:rsidP="00964420"/>
    <w:p w:rsidR="0025130F" w:rsidRDefault="00964420" w:rsidP="00EF345B">
      <w:pPr>
        <w:pStyle w:val="Listenabsatz"/>
        <w:numPr>
          <w:ilvl w:val="0"/>
          <w:numId w:val="1"/>
        </w:numPr>
      </w:pPr>
      <w:r w:rsidRPr="00EF345B">
        <w:rPr>
          <w:b/>
          <w:i/>
        </w:rPr>
        <w:t xml:space="preserve">Wenn Gründungsgesellschafter G sein bisher einzelkaufmännisch betriebenes Unternehmen in eine neu gegründete GmbH einbringen will, kann er dies problemlos so gestalten, dass er zunächst 1 </w:t>
      </w:r>
      <w:proofErr w:type="spellStart"/>
      <w:r w:rsidRPr="00EF345B">
        <w:rPr>
          <w:b/>
          <w:i/>
        </w:rPr>
        <w:t>Mio</w:t>
      </w:r>
      <w:proofErr w:type="spellEnd"/>
      <w:r w:rsidRPr="00EF345B">
        <w:rPr>
          <w:b/>
          <w:i/>
        </w:rPr>
        <w:t xml:space="preserve"> Euro bar einbringt und die GmbH nach ihrer Gründung das Unternehmen für jenen Betrag bei G im Wege des </w:t>
      </w:r>
      <w:proofErr w:type="spellStart"/>
      <w:r w:rsidRPr="00EF345B">
        <w:rPr>
          <w:b/>
          <w:i/>
        </w:rPr>
        <w:t>Assetdeals</w:t>
      </w:r>
      <w:proofErr w:type="spellEnd"/>
      <w:r w:rsidRPr="00EF345B">
        <w:rPr>
          <w:b/>
          <w:i/>
        </w:rPr>
        <w:t xml:space="preserve"> erwirbt.</w:t>
      </w:r>
      <w:r w:rsidRPr="00EF345B">
        <w:rPr>
          <w:i/>
        </w:rPr>
        <w:br/>
      </w:r>
      <w:r w:rsidR="0025130F">
        <w:sym w:font="Wingdings" w:char="F0E0"/>
      </w:r>
      <w:r w:rsidR="0025130F">
        <w:t xml:space="preserve"> Falsch.</w:t>
      </w:r>
    </w:p>
    <w:p w:rsidR="0025130F" w:rsidRDefault="007A38F0" w:rsidP="00EF345B">
      <w:pPr>
        <w:ind w:left="708"/>
      </w:pPr>
      <w:r>
        <w:t>G k</w:t>
      </w:r>
      <w:r w:rsidR="0025130F">
        <w:t>ann dies nicht problemlos gestalten. Grundsätzlich gilt die Bareinlagepflicht nach §19 Abs.1</w:t>
      </w:r>
      <w:r>
        <w:t xml:space="preserve"> GmbHG</w:t>
      </w:r>
      <w:r w:rsidR="0025130F">
        <w:t xml:space="preserve"> mit Ausnahme der Sacheinlage nach §19 Abs.2 S.2 GmbHG. Im Falle einer Übernahme eines einzelkaufmännischen Unternehmens ist die Rede von einer „verdeckten S</w:t>
      </w:r>
      <w:r>
        <w:t xml:space="preserve">acheinlage“ §19 Abs.4 S.1 GmbHG. </w:t>
      </w:r>
      <w:r>
        <w:br/>
        <w:t>D</w:t>
      </w:r>
      <w:r w:rsidR="0025130F">
        <w:t xml:space="preserve">ie Geldeinlagepflicht </w:t>
      </w:r>
      <w:r>
        <w:t xml:space="preserve">besteht </w:t>
      </w:r>
      <w:r w:rsidR="0025130F">
        <w:t>fort</w:t>
      </w:r>
      <w:r>
        <w:t xml:space="preserve">, der Sachwert kann jedoch angerechnet werden </w:t>
      </w:r>
      <w:r w:rsidR="0025130F">
        <w:t>(§19 Abs.4 S.3). G muss den Wert des Unternehmens beweisen §19 Abs.4 S.5 GmbHG.</w:t>
      </w:r>
    </w:p>
    <w:p w:rsidR="00964420" w:rsidRDefault="00964420" w:rsidP="00964420"/>
    <w:p w:rsidR="00964420" w:rsidRPr="00EF345B" w:rsidRDefault="00964420" w:rsidP="00EF345B">
      <w:pPr>
        <w:pStyle w:val="Listenabsatz"/>
        <w:numPr>
          <w:ilvl w:val="0"/>
          <w:numId w:val="1"/>
        </w:numPr>
        <w:rPr>
          <w:color w:val="FF0000"/>
        </w:rPr>
      </w:pPr>
      <w:bookmarkStart w:id="0" w:name="_GoBack"/>
      <w:bookmarkEnd w:id="0"/>
      <w:r w:rsidRPr="00A27881">
        <w:rPr>
          <w:b/>
          <w:i/>
          <w:highlight w:val="yellow"/>
        </w:rPr>
        <w:t>Wenn eine GmbH von einem ihrer Gesells</w:t>
      </w:r>
      <w:r w:rsidR="007A38F0" w:rsidRPr="00A27881">
        <w:rPr>
          <w:b/>
          <w:i/>
          <w:highlight w:val="yellow"/>
        </w:rPr>
        <w:t>chafter dessen Auto zu einem um</w:t>
      </w:r>
      <w:r w:rsidRPr="00A27881">
        <w:rPr>
          <w:b/>
          <w:i/>
          <w:highlight w:val="yellow"/>
        </w:rPr>
        <w:t xml:space="preserve"> 5000 Euro über der </w:t>
      </w:r>
      <w:proofErr w:type="spellStart"/>
      <w:r w:rsidRPr="00A27881">
        <w:rPr>
          <w:b/>
          <w:i/>
          <w:highlight w:val="yellow"/>
        </w:rPr>
        <w:t>Schwacke</w:t>
      </w:r>
      <w:proofErr w:type="spellEnd"/>
      <w:r w:rsidRPr="00A27881">
        <w:rPr>
          <w:b/>
          <w:i/>
          <w:highlight w:val="yellow"/>
        </w:rPr>
        <w:t xml:space="preserve"> –</w:t>
      </w:r>
      <w:r w:rsidR="007A38F0" w:rsidRPr="00A27881">
        <w:rPr>
          <w:b/>
          <w:i/>
          <w:highlight w:val="yellow"/>
        </w:rPr>
        <w:t>Liste liegenden Preis erwirbt, kann ihm auf diesem eleganten Weg gesellschaftsrechtlich zulässig ein Zusatzgewinn ausgezahlt werden.</w:t>
      </w:r>
      <w:r w:rsidR="007A38F0" w:rsidRPr="00EF345B">
        <w:rPr>
          <w:i/>
          <w:color w:val="FF0000"/>
        </w:rPr>
        <w:t xml:space="preserve"> </w:t>
      </w:r>
      <w:r w:rsidRPr="00EF345B">
        <w:rPr>
          <w:i/>
          <w:color w:val="FF0000"/>
        </w:rPr>
        <w:br/>
      </w:r>
      <w:r w:rsidR="00D3692B" w:rsidRPr="00D3692B">
        <w:rPr>
          <w:color w:val="FF0000"/>
        </w:rPr>
        <w:sym w:font="Wingdings" w:char="F0E0"/>
      </w:r>
      <w:r w:rsidR="00D3692B" w:rsidRPr="00EF345B">
        <w:rPr>
          <w:color w:val="FF0000"/>
        </w:rPr>
        <w:t xml:space="preserve"> </w:t>
      </w:r>
      <w:r w:rsidRPr="00EF345B">
        <w:rPr>
          <w:color w:val="FF0000"/>
        </w:rPr>
        <w:t>Es k</w:t>
      </w:r>
      <w:r w:rsidR="00D3692B" w:rsidRPr="00EF345B">
        <w:rPr>
          <w:color w:val="FF0000"/>
        </w:rPr>
        <w:t xml:space="preserve">ommt drauf an. </w:t>
      </w:r>
      <w:r w:rsidR="00D3692B" w:rsidRPr="00EF345B">
        <w:rPr>
          <w:color w:val="FF0000"/>
        </w:rPr>
        <w:br/>
        <w:t>Weder ja noch nei</w:t>
      </w:r>
      <w:r w:rsidRPr="00EF345B">
        <w:rPr>
          <w:color w:val="FF0000"/>
        </w:rPr>
        <w:t>n</w:t>
      </w:r>
      <w:r w:rsidR="00D3692B" w:rsidRPr="00EF345B">
        <w:rPr>
          <w:color w:val="FF0000"/>
        </w:rPr>
        <w:t xml:space="preserve">. Verdeckte Gewinnausschüttung. </w:t>
      </w:r>
    </w:p>
    <w:p w:rsidR="00964420" w:rsidRPr="00D3692B" w:rsidRDefault="00964420" w:rsidP="00EF345B">
      <w:pPr>
        <w:ind w:left="708"/>
        <w:rPr>
          <w:color w:val="FF0000"/>
        </w:rPr>
      </w:pPr>
      <w:r w:rsidRPr="00D3692B">
        <w:rPr>
          <w:color w:val="FF0000"/>
        </w:rPr>
        <w:t>1. Schadensersatzanspruch wege</w:t>
      </w:r>
      <w:r w:rsidR="00D3692B" w:rsidRPr="00D3692B">
        <w:rPr>
          <w:color w:val="FF0000"/>
        </w:rPr>
        <w:t>n Verletzung der Treuepflicht</w:t>
      </w:r>
      <w:r w:rsidR="00D3692B" w:rsidRPr="00D3692B">
        <w:rPr>
          <w:color w:val="FF0000"/>
        </w:rPr>
        <w:br/>
        <w:t xml:space="preserve">2. Rückgewähranspruch wegen Sondervorteilsverbot </w:t>
      </w:r>
    </w:p>
    <w:p w:rsidR="00964420" w:rsidRDefault="00964420" w:rsidP="00964420"/>
    <w:p w:rsidR="00964420" w:rsidRPr="00EF345B" w:rsidRDefault="00964420" w:rsidP="00EF345B">
      <w:pPr>
        <w:pStyle w:val="Listenabsatz"/>
        <w:numPr>
          <w:ilvl w:val="0"/>
          <w:numId w:val="1"/>
        </w:numPr>
        <w:rPr>
          <w:b/>
          <w:i/>
        </w:rPr>
      </w:pPr>
      <w:r w:rsidRPr="00EF345B">
        <w:rPr>
          <w:b/>
          <w:i/>
        </w:rPr>
        <w:t xml:space="preserve">In der Insolvenz einer GmbH wird das Darlehen eines Gesellschafters anders behandelt als das Darlehen einer Bank. </w:t>
      </w:r>
    </w:p>
    <w:p w:rsidR="00964420" w:rsidRPr="00F10299" w:rsidRDefault="00DC047A" w:rsidP="00EF345B">
      <w:pPr>
        <w:ind w:left="708"/>
      </w:pPr>
      <w:r>
        <w:sym w:font="Wingdings" w:char="F0E0"/>
      </w:r>
      <w:r>
        <w:t xml:space="preserve"> Richtig. </w:t>
      </w:r>
      <w:r>
        <w:br/>
        <w:t xml:space="preserve">Nach §39 Abs.1 InsO werden die Forderungen in verschiedener Rangfolge berichtigt. Das </w:t>
      </w:r>
      <w:r w:rsidR="00964420">
        <w:t xml:space="preserve">Darlehen der Bank </w:t>
      </w:r>
      <w:r>
        <w:t xml:space="preserve">ist eine </w:t>
      </w:r>
      <w:r w:rsidR="00964420">
        <w:t xml:space="preserve">normale Insolvenzforderung </w:t>
      </w:r>
      <w:r>
        <w:t>§39 Abs.1 Nr.1 InsO, welche zuerst berichtigt wird. Gegenüberstehend wird ein Gesellschaftsdarlehen</w:t>
      </w:r>
      <w:r w:rsidR="00D059F5">
        <w:t xml:space="preserve"> erst</w:t>
      </w:r>
      <w:r>
        <w:t xml:space="preserve"> </w:t>
      </w:r>
      <w:r w:rsidR="00D059F5">
        <w:t xml:space="preserve">an späterer Stelle berichtigt §39 Abs.1 Nr.5 InsO. </w:t>
      </w:r>
      <w:r>
        <w:t xml:space="preserve"> </w:t>
      </w:r>
    </w:p>
    <w:p w:rsidR="00964420" w:rsidRPr="00DB7850" w:rsidRDefault="00964420" w:rsidP="00EF345B">
      <w:pPr>
        <w:ind w:left="708"/>
      </w:pPr>
    </w:p>
    <w:sectPr w:rsidR="00964420" w:rsidRPr="00DB7850" w:rsidSect="00156113">
      <w:pgSz w:w="11900" w:h="16840"/>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57F" w:rsidRDefault="000A157F" w:rsidP="00EF345B">
      <w:r>
        <w:separator/>
      </w:r>
    </w:p>
  </w:endnote>
  <w:endnote w:type="continuationSeparator" w:id="0">
    <w:p w:rsidR="000A157F" w:rsidRDefault="000A157F" w:rsidP="00EF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57F" w:rsidRDefault="000A157F" w:rsidP="00EF345B">
      <w:r>
        <w:separator/>
      </w:r>
    </w:p>
  </w:footnote>
  <w:footnote w:type="continuationSeparator" w:id="0">
    <w:p w:rsidR="000A157F" w:rsidRDefault="000A157F" w:rsidP="00EF34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74470"/>
    <w:multiLevelType w:val="multilevel"/>
    <w:tmpl w:val="ECAE523A"/>
    <w:lvl w:ilvl="0">
      <w:start w:val="1"/>
      <w:numFmt w:val="decimal"/>
      <w:lvlText w:val="%1)"/>
      <w:lvlJc w:val="left"/>
      <w:pPr>
        <w:tabs>
          <w:tab w:val="num" w:pos="680"/>
        </w:tabs>
        <w:ind w:left="680" w:hanging="680"/>
      </w:pPr>
      <w:rPr>
        <w:rFonts w:hint="default"/>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EFF670C"/>
    <w:multiLevelType w:val="hybridMultilevel"/>
    <w:tmpl w:val="EDF44942"/>
    <w:lvl w:ilvl="0" w:tplc="93B4E774">
      <w:start w:val="1"/>
      <w:numFmt w:val="decimal"/>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2E03165"/>
    <w:multiLevelType w:val="multilevel"/>
    <w:tmpl w:val="FB42D2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DB536A8"/>
    <w:multiLevelType w:val="multilevel"/>
    <w:tmpl w:val="327E5636"/>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A714CFF"/>
    <w:multiLevelType w:val="multilevel"/>
    <w:tmpl w:val="03F4F308"/>
    <w:lvl w:ilvl="0">
      <w:start w:val="1"/>
      <w:numFmt w:val="decimal"/>
      <w:lvlText w:val="%1)"/>
      <w:lvlJc w:val="left"/>
      <w:pPr>
        <w:ind w:left="680" w:hanging="320"/>
      </w:pPr>
      <w:rPr>
        <w:rFonts w:hint="default"/>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B8F1078"/>
    <w:multiLevelType w:val="hybridMultilevel"/>
    <w:tmpl w:val="0978B9C4"/>
    <w:lvl w:ilvl="0" w:tplc="04070011">
      <w:start w:val="1"/>
      <w:numFmt w:val="decimal"/>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6">
    <w:nsid w:val="428E7C0B"/>
    <w:multiLevelType w:val="multilevel"/>
    <w:tmpl w:val="4D6812B2"/>
    <w:lvl w:ilvl="0">
      <w:start w:val="1"/>
      <w:numFmt w:val="decimal"/>
      <w:lvlText w:val="%1)"/>
      <w:lvlJc w:val="left"/>
      <w:pPr>
        <w:tabs>
          <w:tab w:val="num" w:pos="397"/>
        </w:tabs>
        <w:ind w:left="397" w:hanging="397"/>
      </w:pPr>
      <w:rPr>
        <w:rFonts w:hint="default"/>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9C62542"/>
    <w:multiLevelType w:val="hybridMultilevel"/>
    <w:tmpl w:val="30324428"/>
    <w:lvl w:ilvl="0" w:tplc="0407000F">
      <w:start w:val="1"/>
      <w:numFmt w:val="decimal"/>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8">
    <w:nsid w:val="7FE13FF8"/>
    <w:multiLevelType w:val="hybridMultilevel"/>
    <w:tmpl w:val="ECAE523A"/>
    <w:lvl w:ilvl="0" w:tplc="4EAA2966">
      <w:start w:val="1"/>
      <w:numFmt w:val="decimal"/>
      <w:lvlText w:val="%1)"/>
      <w:lvlJc w:val="left"/>
      <w:pPr>
        <w:tabs>
          <w:tab w:val="num" w:pos="680"/>
        </w:tabs>
        <w:ind w:left="680" w:hanging="680"/>
      </w:pPr>
      <w:rPr>
        <w:rFonts w:hint="default"/>
        <w:b/>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7"/>
  </w:num>
  <w:num w:numId="3">
    <w:abstractNumId w:val="5"/>
  </w:num>
  <w:num w:numId="4">
    <w:abstractNumId w:val="2"/>
  </w:num>
  <w:num w:numId="5">
    <w:abstractNumId w:val="1"/>
  </w:num>
  <w:num w:numId="6">
    <w:abstractNumId w:val="3"/>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29A"/>
    <w:rsid w:val="00011D13"/>
    <w:rsid w:val="0006161F"/>
    <w:rsid w:val="000A157F"/>
    <w:rsid w:val="00105B15"/>
    <w:rsid w:val="00156113"/>
    <w:rsid w:val="00166FEB"/>
    <w:rsid w:val="0017604C"/>
    <w:rsid w:val="001F113F"/>
    <w:rsid w:val="0025130F"/>
    <w:rsid w:val="002956D8"/>
    <w:rsid w:val="00304B8F"/>
    <w:rsid w:val="003472DF"/>
    <w:rsid w:val="00381A97"/>
    <w:rsid w:val="003C6C1B"/>
    <w:rsid w:val="003D0437"/>
    <w:rsid w:val="00402871"/>
    <w:rsid w:val="00420A99"/>
    <w:rsid w:val="004B5564"/>
    <w:rsid w:val="004D5FF4"/>
    <w:rsid w:val="00504AF3"/>
    <w:rsid w:val="0056059E"/>
    <w:rsid w:val="005D0C30"/>
    <w:rsid w:val="005E35FC"/>
    <w:rsid w:val="00662158"/>
    <w:rsid w:val="007636FE"/>
    <w:rsid w:val="007A38F0"/>
    <w:rsid w:val="0081550E"/>
    <w:rsid w:val="00964420"/>
    <w:rsid w:val="009B4A84"/>
    <w:rsid w:val="009C38EE"/>
    <w:rsid w:val="00A123FE"/>
    <w:rsid w:val="00A154A6"/>
    <w:rsid w:val="00A27881"/>
    <w:rsid w:val="00AE1173"/>
    <w:rsid w:val="00B6487F"/>
    <w:rsid w:val="00CB150B"/>
    <w:rsid w:val="00CD6562"/>
    <w:rsid w:val="00D059F5"/>
    <w:rsid w:val="00D20E98"/>
    <w:rsid w:val="00D34D94"/>
    <w:rsid w:val="00D3692B"/>
    <w:rsid w:val="00D62660"/>
    <w:rsid w:val="00D90320"/>
    <w:rsid w:val="00DA1F90"/>
    <w:rsid w:val="00DB7850"/>
    <w:rsid w:val="00DC047A"/>
    <w:rsid w:val="00E21C0A"/>
    <w:rsid w:val="00E53F0C"/>
    <w:rsid w:val="00E7546E"/>
    <w:rsid w:val="00E86219"/>
    <w:rsid w:val="00EF345B"/>
    <w:rsid w:val="00F457FC"/>
    <w:rsid w:val="00F93E2F"/>
    <w:rsid w:val="00FB5639"/>
    <w:rsid w:val="00FF729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457FC"/>
    <w:pPr>
      <w:ind w:left="720"/>
      <w:contextualSpacing/>
    </w:pPr>
  </w:style>
  <w:style w:type="paragraph" w:styleId="Kopfzeile">
    <w:name w:val="header"/>
    <w:basedOn w:val="Standard"/>
    <w:link w:val="KopfzeileZchn"/>
    <w:uiPriority w:val="99"/>
    <w:unhideWhenUsed/>
    <w:rsid w:val="00EF345B"/>
    <w:pPr>
      <w:tabs>
        <w:tab w:val="center" w:pos="4536"/>
        <w:tab w:val="right" w:pos="9072"/>
      </w:tabs>
    </w:pPr>
  </w:style>
  <w:style w:type="character" w:customStyle="1" w:styleId="KopfzeileZchn">
    <w:name w:val="Kopfzeile Zchn"/>
    <w:basedOn w:val="Absatz-Standardschriftart"/>
    <w:link w:val="Kopfzeile"/>
    <w:uiPriority w:val="99"/>
    <w:rsid w:val="00EF345B"/>
  </w:style>
  <w:style w:type="paragraph" w:styleId="Fuzeile">
    <w:name w:val="footer"/>
    <w:basedOn w:val="Standard"/>
    <w:link w:val="FuzeileZchn"/>
    <w:uiPriority w:val="99"/>
    <w:unhideWhenUsed/>
    <w:rsid w:val="00EF345B"/>
    <w:pPr>
      <w:tabs>
        <w:tab w:val="center" w:pos="4536"/>
        <w:tab w:val="right" w:pos="9072"/>
      </w:tabs>
    </w:pPr>
  </w:style>
  <w:style w:type="character" w:customStyle="1" w:styleId="FuzeileZchn">
    <w:name w:val="Fußzeile Zchn"/>
    <w:basedOn w:val="Absatz-Standardschriftart"/>
    <w:link w:val="Fuzeile"/>
    <w:uiPriority w:val="99"/>
    <w:rsid w:val="00EF34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457FC"/>
    <w:pPr>
      <w:ind w:left="720"/>
      <w:contextualSpacing/>
    </w:pPr>
  </w:style>
  <w:style w:type="paragraph" w:styleId="Kopfzeile">
    <w:name w:val="header"/>
    <w:basedOn w:val="Standard"/>
    <w:link w:val="KopfzeileZchn"/>
    <w:uiPriority w:val="99"/>
    <w:unhideWhenUsed/>
    <w:rsid w:val="00EF345B"/>
    <w:pPr>
      <w:tabs>
        <w:tab w:val="center" w:pos="4536"/>
        <w:tab w:val="right" w:pos="9072"/>
      </w:tabs>
    </w:pPr>
  </w:style>
  <w:style w:type="character" w:customStyle="1" w:styleId="KopfzeileZchn">
    <w:name w:val="Kopfzeile Zchn"/>
    <w:basedOn w:val="Absatz-Standardschriftart"/>
    <w:link w:val="Kopfzeile"/>
    <w:uiPriority w:val="99"/>
    <w:rsid w:val="00EF345B"/>
  </w:style>
  <w:style w:type="paragraph" w:styleId="Fuzeile">
    <w:name w:val="footer"/>
    <w:basedOn w:val="Standard"/>
    <w:link w:val="FuzeileZchn"/>
    <w:uiPriority w:val="99"/>
    <w:unhideWhenUsed/>
    <w:rsid w:val="00EF345B"/>
    <w:pPr>
      <w:tabs>
        <w:tab w:val="center" w:pos="4536"/>
        <w:tab w:val="right" w:pos="9072"/>
      </w:tabs>
    </w:pPr>
  </w:style>
  <w:style w:type="character" w:customStyle="1" w:styleId="FuzeileZchn">
    <w:name w:val="Fußzeile Zchn"/>
    <w:basedOn w:val="Absatz-Standardschriftart"/>
    <w:link w:val="Fuzeile"/>
    <w:uiPriority w:val="99"/>
    <w:rsid w:val="00EF3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1449</Words>
  <Characters>9133</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Walz</dc:creator>
  <cp:keywords/>
  <dc:description/>
  <cp:lastModifiedBy>C</cp:lastModifiedBy>
  <cp:revision>18</cp:revision>
  <dcterms:created xsi:type="dcterms:W3CDTF">2015-05-19T15:40:00Z</dcterms:created>
  <dcterms:modified xsi:type="dcterms:W3CDTF">2015-08-25T18:31:00Z</dcterms:modified>
</cp:coreProperties>
</file>