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2003"/>
        <w:gridCol w:w="1979"/>
        <w:gridCol w:w="1324"/>
      </w:tblGrid>
      <w:tr w:rsidR="002D2F49" w:rsidRPr="00E92B4C" w14:paraId="39F553F4" w14:textId="77777777" w:rsidTr="001953B8">
        <w:trPr>
          <w:cantSplit/>
        </w:trPr>
        <w:tc>
          <w:tcPr>
            <w:tcW w:w="9131" w:type="dxa"/>
            <w:gridSpan w:val="4"/>
          </w:tcPr>
          <w:p w14:paraId="65B03D38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</w:rPr>
            </w:pPr>
          </w:p>
          <w:p w14:paraId="35298AB3" w14:textId="2ACD070D" w:rsidR="00F4488A" w:rsidRPr="002D2F49" w:rsidRDefault="00F4488A" w:rsidP="00F4488A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Module:</w:t>
            </w:r>
            <w:r w:rsidRPr="002D2F49">
              <w:rPr>
                <w:rFonts w:ascii="Henderson BCG Serif" w:hAnsi="Henderson BCG Serif" w:cs="Henderson BCG Serif"/>
                <w:bCs/>
                <w:sz w:val="22"/>
                <w:szCs w:val="22"/>
                <w:lang w:val="en-GB"/>
              </w:rPr>
              <w:t xml:space="preserve"> </w:t>
            </w:r>
            <w:r w:rsidR="004151CF">
              <w:rPr>
                <w:rFonts w:ascii="Henderson BCG Serif" w:hAnsi="Henderson BCG Serif" w:cs="Henderson BCG Serif"/>
                <w:bCs/>
                <w:sz w:val="22"/>
                <w:szCs w:val="22"/>
                <w:lang w:val="en-GB"/>
              </w:rPr>
              <w:t xml:space="preserve">ACC 662 </w:t>
            </w:r>
            <w:r w:rsidR="00155A19">
              <w:rPr>
                <w:rFonts w:ascii="Henderson BCG Serif" w:hAnsi="Henderson BCG Serif" w:cs="Henderson BCG Serif"/>
                <w:bCs/>
                <w:sz w:val="22"/>
                <w:szCs w:val="22"/>
                <w:lang w:val="en-GB"/>
              </w:rPr>
              <w:t xml:space="preserve">Private Equity: </w:t>
            </w:r>
            <w:r w:rsidR="00F63168">
              <w:rPr>
                <w:rFonts w:ascii="Henderson BCG Serif" w:hAnsi="Henderson BCG Serif" w:cs="Henderson BCG Serif"/>
                <w:bCs/>
                <w:sz w:val="22"/>
                <w:szCs w:val="22"/>
                <w:lang w:val="en-US"/>
              </w:rPr>
              <w:t>Due Diligence and Value Creation</w:t>
            </w:r>
          </w:p>
          <w:p w14:paraId="15BACA73" w14:textId="77777777" w:rsidR="00F4488A" w:rsidRPr="002D2F49" w:rsidRDefault="00F4488A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</w:p>
        </w:tc>
      </w:tr>
      <w:tr w:rsidR="002D2F49" w:rsidRPr="00E92B4C" w14:paraId="4BA2EA63" w14:textId="77777777" w:rsidTr="001953B8">
        <w:trPr>
          <w:cantSplit/>
        </w:trPr>
        <w:tc>
          <w:tcPr>
            <w:tcW w:w="9131" w:type="dxa"/>
            <w:gridSpan w:val="4"/>
          </w:tcPr>
          <w:p w14:paraId="13A277A2" w14:textId="77777777" w:rsidR="00F4488A" w:rsidRPr="002D2F49" w:rsidRDefault="00F4488A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Aim of module: </w:t>
            </w:r>
          </w:p>
          <w:p w14:paraId="5AD439F9" w14:textId="77777777" w:rsidR="00BD6C99" w:rsidRPr="002D2F49" w:rsidRDefault="00BD6C99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  <w:p w14:paraId="1AC0E12C" w14:textId="0FD56BF2" w:rsidR="00602BA4" w:rsidRPr="002D2F49" w:rsidRDefault="001E0B04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The course</w:t>
            </w:r>
            <w:r w:rsidR="00602BA4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aims at 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exploring</w:t>
            </w:r>
            <w:r w:rsidR="00602BA4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Private Equity </w:t>
            </w:r>
            <w:r w:rsidR="00F63168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(PE) </w:t>
            </w:r>
            <w:r w:rsidR="00602BA4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as an alternative asset class</w:t>
            </w:r>
            <w:r w:rsidR="00F63168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on the rise and will equip the participants with a sound understanding of its characteristics and mechanics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.</w:t>
            </w:r>
          </w:p>
          <w:p w14:paraId="748B150C" w14:textId="77777777" w:rsidR="00602BA4" w:rsidRPr="002D2F49" w:rsidRDefault="00602BA4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16B352D1" w14:textId="52769ECB" w:rsidR="001F4A16" w:rsidRPr="002D2F49" w:rsidRDefault="00F63168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After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outlining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Private Equity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’s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role from an asset management perspective, the course will 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focus on PE fundamen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tals (strategy, economics, </w:t>
            </w:r>
            <w:proofErr w:type="gramStart"/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s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takeholders</w:t>
            </w:r>
            <w:proofErr w:type="gramEnd"/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) as well as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on detailing 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Leverage Buy-out 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value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chain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incl</w:t>
            </w:r>
            <w:r w:rsidR="001E0B04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uding the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sourcing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strategy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, due diligence,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portfolio 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value creation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and</w:t>
            </w:r>
            <w:r w:rsidR="00881382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exit. 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There will be a specific emphasis on teaching 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LBO mechanics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,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core d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ue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d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iligence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techniques and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v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alue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c</w:t>
            </w:r>
            <w:r w:rsidR="001F4A16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reation strategies.</w:t>
            </w:r>
          </w:p>
          <w:p w14:paraId="787CCD4D" w14:textId="77777777" w:rsidR="001F4A16" w:rsidRPr="002D2F49" w:rsidRDefault="001F4A16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  <w:p w14:paraId="2101583D" w14:textId="2BB6B27B" w:rsidR="00602BA4" w:rsidRPr="002D2F49" w:rsidRDefault="001F4A16" w:rsidP="004F7560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The 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course</w:t>
            </w:r>
            <w:r w:rsidR="004F7560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will be complemented by several practical exercises, in class discussions, as well as guest lectures from professionals in the Private Equity Industry. </w:t>
            </w:r>
          </w:p>
        </w:tc>
      </w:tr>
      <w:tr w:rsidR="002D2F49" w:rsidRPr="00E92B4C" w14:paraId="63577A2B" w14:textId="77777777" w:rsidTr="001953B8">
        <w:trPr>
          <w:cantSplit/>
        </w:trPr>
        <w:tc>
          <w:tcPr>
            <w:tcW w:w="9131" w:type="dxa"/>
            <w:gridSpan w:val="4"/>
            <w:tcBorders>
              <w:bottom w:val="single" w:sz="6" w:space="0" w:color="auto"/>
            </w:tcBorders>
          </w:tcPr>
          <w:p w14:paraId="4406A3B8" w14:textId="77777777" w:rsidR="00F4488A" w:rsidRPr="002D2F49" w:rsidRDefault="00F4488A" w:rsidP="00F4488A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Learning outcomes:</w:t>
            </w:r>
          </w:p>
          <w:p w14:paraId="4DC395D2" w14:textId="7146B7FC" w:rsidR="00F4488A" w:rsidRPr="002D2F49" w:rsidRDefault="001E0B04" w:rsidP="004F7560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P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articipants will be able to distinguish Private Equity from other asset classes.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In particular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, participants understand how to assess and create value from potential investments. Overall, this 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course</w:t>
            </w:r>
            <w:r w:rsidR="004F7560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will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provide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participants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with 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practical insights into P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rivate 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E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quity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and </w:t>
            </w:r>
            <w:r w:rsidR="004F7560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will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equip</w:t>
            </w: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them 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with advanced knowledge 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for a potential career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in the industry</w:t>
            </w:r>
            <w:r w:rsidR="0002072E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.</w:t>
            </w:r>
            <w:r w:rsidR="00BD6C99"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 xml:space="preserve"> </w:t>
            </w:r>
          </w:p>
        </w:tc>
      </w:tr>
      <w:tr w:rsidR="002D2F49" w:rsidRPr="00E92B4C" w14:paraId="44DE1781" w14:textId="77777777" w:rsidTr="001953B8">
        <w:trPr>
          <w:cantSplit/>
        </w:trPr>
        <w:tc>
          <w:tcPr>
            <w:tcW w:w="9131" w:type="dxa"/>
            <w:gridSpan w:val="4"/>
            <w:tcBorders>
              <w:bottom w:val="double" w:sz="4" w:space="0" w:color="auto"/>
            </w:tcBorders>
          </w:tcPr>
          <w:p w14:paraId="2DF6BE81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Prerequisites: </w:t>
            </w:r>
          </w:p>
          <w:p w14:paraId="6DF73081" w14:textId="4DA4CFAB" w:rsidR="00F4488A" w:rsidRPr="002D2F49" w:rsidRDefault="00F4488A" w:rsidP="001953B8">
            <w:pPr>
              <w:tabs>
                <w:tab w:val="left" w:pos="1440"/>
                <w:tab w:val="left" w:pos="1980"/>
              </w:tabs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Formal:</w:t>
            </w: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</w:t>
            </w:r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ACC 5XX</w:t>
            </w:r>
          </w:p>
          <w:p w14:paraId="3F0CB64E" w14:textId="77777777" w:rsidR="00F4488A" w:rsidRPr="002D2F49" w:rsidRDefault="00F4488A" w:rsidP="001953B8">
            <w:pPr>
              <w:tabs>
                <w:tab w:val="left" w:pos="1440"/>
                <w:tab w:val="left" w:pos="1980"/>
              </w:tabs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ab/>
            </w:r>
          </w:p>
          <w:p w14:paraId="65BAA879" w14:textId="28F59D58" w:rsidR="00F4488A" w:rsidRPr="002D2F49" w:rsidRDefault="00F4488A" w:rsidP="00841DF4">
            <w:pPr>
              <w:tabs>
                <w:tab w:val="left" w:pos="1980"/>
              </w:tabs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Recommended: </w:t>
            </w:r>
            <w:r w:rsidR="00155A19" w:rsidRPr="004F7560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Basic knowledge of </w:t>
            </w:r>
            <w:r w:rsidR="0002072E" w:rsidRPr="00155A19">
              <w:rPr>
                <w:rFonts w:ascii="Henderson BCG Serif" w:hAnsi="Henderson BCG Serif" w:cs="Henderson BCG Serif"/>
                <w:bCs/>
                <w:sz w:val="22"/>
                <w:szCs w:val="22"/>
                <w:lang w:val="en-GB"/>
              </w:rPr>
              <w:t>Corporate Finance</w:t>
            </w:r>
          </w:p>
        </w:tc>
      </w:tr>
      <w:tr w:rsidR="002D2F49" w:rsidRPr="00E92B4C" w14:paraId="7BD9BE5D" w14:textId="77777777" w:rsidTr="00B653C7">
        <w:trPr>
          <w:cantSplit/>
        </w:trPr>
        <w:tc>
          <w:tcPr>
            <w:tcW w:w="3822" w:type="dxa"/>
            <w:tcBorders>
              <w:bottom w:val="double" w:sz="4" w:space="0" w:color="auto"/>
            </w:tcBorders>
          </w:tcPr>
          <w:p w14:paraId="173878C5" w14:textId="77777777" w:rsidR="00F4488A" w:rsidRPr="002D2F49" w:rsidRDefault="00F4488A" w:rsidP="00841DF4">
            <w:pPr>
              <w:tabs>
                <w:tab w:val="left" w:pos="1425"/>
              </w:tabs>
              <w:rPr>
                <w:rFonts w:ascii="Henderson BCG Serif" w:hAnsi="Henderson BCG Serif" w:cs="Henderson BCG Serif"/>
                <w:sz w:val="22"/>
                <w:szCs w:val="22"/>
              </w:rPr>
            </w:pPr>
            <w:proofErr w:type="spellStart"/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</w:rPr>
              <w:t>Obligatory</w:t>
            </w:r>
            <w:proofErr w:type="spellEnd"/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</w:rPr>
              <w:t xml:space="preserve"> </w:t>
            </w:r>
            <w:proofErr w:type="spellStart"/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</w:rPr>
              <w:t>registration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: </w:t>
            </w: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5309" w:type="dxa"/>
            <w:gridSpan w:val="3"/>
            <w:tcBorders>
              <w:bottom w:val="double" w:sz="4" w:space="0" w:color="auto"/>
            </w:tcBorders>
          </w:tcPr>
          <w:p w14:paraId="6C7DED4A" w14:textId="77777777" w:rsidR="00F4488A" w:rsidRPr="002D2F49" w:rsidRDefault="00F4488A" w:rsidP="001953B8">
            <w:pPr>
              <w:tabs>
                <w:tab w:val="left" w:pos="1425"/>
              </w:tabs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Further Information on the registration:</w:t>
            </w: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</w:t>
            </w:r>
          </w:p>
          <w:p w14:paraId="360513EA" w14:textId="77777777" w:rsidR="00F4488A" w:rsidRPr="002D2F49" w:rsidRDefault="00F4488A" w:rsidP="001953B8">
            <w:pPr>
              <w:tabs>
                <w:tab w:val="left" w:pos="1425"/>
              </w:tabs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[Website of the chair / “Student Portal”]</w:t>
            </w:r>
          </w:p>
        </w:tc>
      </w:tr>
      <w:tr w:rsidR="002D2F49" w:rsidRPr="002D2F49" w14:paraId="239FAD86" w14:textId="77777777" w:rsidTr="001953B8">
        <w:trPr>
          <w:trHeight w:val="374"/>
        </w:trPr>
        <w:tc>
          <w:tcPr>
            <w:tcW w:w="3826" w:type="dxa"/>
            <w:tcBorders>
              <w:top w:val="double" w:sz="4" w:space="0" w:color="auto"/>
              <w:bottom w:val="nil"/>
              <w:right w:val="nil"/>
            </w:tcBorders>
          </w:tcPr>
          <w:p w14:paraId="6B68E520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i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  <w:t>Courses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2AF9D5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  <w:t>Hours per week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BF27F0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  <w:t>Self-study</w:t>
            </w:r>
          </w:p>
        </w:tc>
        <w:tc>
          <w:tcPr>
            <w:tcW w:w="1321" w:type="dxa"/>
            <w:tcBorders>
              <w:top w:val="double" w:sz="4" w:space="0" w:color="auto"/>
              <w:left w:val="nil"/>
              <w:bottom w:val="nil"/>
            </w:tcBorders>
          </w:tcPr>
          <w:p w14:paraId="016BE793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2D2F49" w:rsidRPr="002D2F49" w14:paraId="400BB6D5" w14:textId="77777777" w:rsidTr="001953B8">
        <w:trPr>
          <w:trHeight w:val="374"/>
        </w:trPr>
        <w:tc>
          <w:tcPr>
            <w:tcW w:w="3826" w:type="dxa"/>
            <w:tcBorders>
              <w:top w:val="nil"/>
              <w:bottom w:val="nil"/>
              <w:right w:val="nil"/>
            </w:tcBorders>
          </w:tcPr>
          <w:p w14:paraId="3FD0AD38" w14:textId="77777777" w:rsidR="00F4488A" w:rsidRPr="002D2F49" w:rsidRDefault="00F4488A" w:rsidP="00841DF4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439223E2" w14:textId="77777777" w:rsidR="00F4488A" w:rsidRPr="002D2F49" w:rsidRDefault="001E0B04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7771DD" w14:textId="77777777" w:rsidR="00F4488A" w:rsidRPr="002D2F49" w:rsidRDefault="001E0B04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14:paraId="7958002D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</w:tc>
      </w:tr>
      <w:tr w:rsidR="002D2F49" w:rsidRPr="002D2F49" w14:paraId="4DB2E41B" w14:textId="77777777" w:rsidTr="001953B8">
        <w:trPr>
          <w:trHeight w:val="374"/>
        </w:trPr>
        <w:tc>
          <w:tcPr>
            <w:tcW w:w="3826" w:type="dxa"/>
            <w:tcBorders>
              <w:top w:val="nil"/>
              <w:bottom w:val="single" w:sz="6" w:space="0" w:color="auto"/>
              <w:right w:val="nil"/>
            </w:tcBorders>
          </w:tcPr>
          <w:p w14:paraId="1C71E638" w14:textId="77777777" w:rsidR="00F4488A" w:rsidRPr="002D2F49" w:rsidRDefault="001E0B04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Case Study Presentation</w:t>
            </w:r>
          </w:p>
          <w:p w14:paraId="5899A7D7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8D779" w14:textId="77777777" w:rsidR="00F4488A" w:rsidRPr="002D2F49" w:rsidRDefault="001E0B04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FEF3CE" w14:textId="77777777" w:rsidR="00F4488A" w:rsidRPr="002D2F49" w:rsidRDefault="001E0B04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</w:tcBorders>
          </w:tcPr>
          <w:p w14:paraId="77DBFE2C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</w:tc>
      </w:tr>
      <w:tr w:rsidR="002D2F49" w:rsidRPr="002D2F49" w14:paraId="408F3BCA" w14:textId="77777777" w:rsidTr="001953B8">
        <w:trPr>
          <w:trHeight w:val="374"/>
        </w:trPr>
        <w:tc>
          <w:tcPr>
            <w:tcW w:w="3826" w:type="dxa"/>
            <w:tcBorders>
              <w:top w:val="nil"/>
              <w:bottom w:val="single" w:sz="6" w:space="0" w:color="auto"/>
              <w:right w:val="nil"/>
            </w:tcBorders>
          </w:tcPr>
          <w:p w14:paraId="62E5BF0A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ECTS in total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DEDDAB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EAA656" w14:textId="77777777" w:rsidR="00F4488A" w:rsidRPr="002D2F49" w:rsidRDefault="00F4488A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</w:tcBorders>
          </w:tcPr>
          <w:p w14:paraId="76FC1A70" w14:textId="77777777" w:rsidR="00F4488A" w:rsidRPr="002D2F49" w:rsidRDefault="001E0B04" w:rsidP="001953B8">
            <w:pPr>
              <w:jc w:val="center"/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6</w:t>
            </w:r>
          </w:p>
        </w:tc>
      </w:tr>
      <w:tr w:rsidR="002D2F49" w:rsidRPr="00E92B4C" w14:paraId="4EC1AE60" w14:textId="77777777" w:rsidTr="001953B8">
        <w:trPr>
          <w:cantSplit/>
          <w:trHeight w:val="374"/>
        </w:trPr>
        <w:tc>
          <w:tcPr>
            <w:tcW w:w="3826" w:type="dxa"/>
            <w:tcBorders>
              <w:top w:val="double" w:sz="4" w:space="0" w:color="auto"/>
            </w:tcBorders>
          </w:tcPr>
          <w:p w14:paraId="51F58D06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Form of assessment </w:t>
            </w:r>
          </w:p>
        </w:tc>
        <w:tc>
          <w:tcPr>
            <w:tcW w:w="5305" w:type="dxa"/>
            <w:gridSpan w:val="3"/>
            <w:tcBorders>
              <w:top w:val="double" w:sz="4" w:space="0" w:color="auto"/>
            </w:tcBorders>
          </w:tcPr>
          <w:p w14:paraId="542FF472" w14:textId="7156A544" w:rsidR="00F4488A" w:rsidRPr="002D2F49" w:rsidRDefault="00155A19" w:rsidP="00155A19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Case study presentation (50</w:t>
            </w:r>
            <w:r w:rsidRPr="00155A1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%) and written exam (</w:t>
            </w:r>
            <w: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45 minutes, 50</w:t>
            </w:r>
            <w:r w:rsidRPr="00155A1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%)</w:t>
            </w:r>
          </w:p>
        </w:tc>
      </w:tr>
      <w:tr w:rsidR="002D2F49" w:rsidRPr="00E92B4C" w14:paraId="2F7C4D59" w14:textId="77777777" w:rsidTr="001953B8">
        <w:trPr>
          <w:cantSplit/>
          <w:trHeight w:val="374"/>
        </w:trPr>
        <w:tc>
          <w:tcPr>
            <w:tcW w:w="3826" w:type="dxa"/>
          </w:tcPr>
          <w:p w14:paraId="774B8777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Lecturer</w:t>
            </w:r>
            <w:r w:rsidR="00155A1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 </w:t>
            </w: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/</w:t>
            </w:r>
            <w:r w:rsidR="00155A1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 xml:space="preserve"> </w:t>
            </w: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Person in charge</w:t>
            </w:r>
          </w:p>
        </w:tc>
        <w:tc>
          <w:tcPr>
            <w:tcW w:w="5305" w:type="dxa"/>
            <w:gridSpan w:val="3"/>
          </w:tcPr>
          <w:p w14:paraId="2798E455" w14:textId="10B52A31" w:rsidR="00F4488A" w:rsidRPr="002D2F49" w:rsidRDefault="00841DF4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Dr.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Wilhelm Schmundt</w:t>
            </w:r>
            <w:r w:rsidR="0079177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(Lecture and Case Studies)</w:t>
            </w:r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Prof.</w:t>
            </w:r>
            <w:proofErr w:type="spellEnd"/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Dr.</w:t>
            </w:r>
            <w:proofErr w:type="spellEnd"/>
            <w:r w:rsidR="00E92B4C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 xml:space="preserve"> Jannis Bischof</w:t>
            </w:r>
          </w:p>
        </w:tc>
      </w:tr>
      <w:tr w:rsidR="002D2F49" w:rsidRPr="00E92B4C" w14:paraId="7FC841B5" w14:textId="77777777" w:rsidTr="001953B8">
        <w:trPr>
          <w:cantSplit/>
          <w:trHeight w:val="374"/>
        </w:trPr>
        <w:tc>
          <w:tcPr>
            <w:tcW w:w="3826" w:type="dxa"/>
          </w:tcPr>
          <w:p w14:paraId="4EB01936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Duration of module</w:t>
            </w:r>
          </w:p>
        </w:tc>
        <w:tc>
          <w:tcPr>
            <w:tcW w:w="5305" w:type="dxa"/>
            <w:gridSpan w:val="3"/>
          </w:tcPr>
          <w:p w14:paraId="54C40A34" w14:textId="77777777" w:rsidR="00F4488A" w:rsidRPr="002D2F49" w:rsidRDefault="00841DF4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1 term</w:t>
            </w:r>
          </w:p>
        </w:tc>
      </w:tr>
      <w:tr w:rsidR="002D2F49" w:rsidRPr="00E92B4C" w14:paraId="7F839789" w14:textId="77777777" w:rsidTr="001953B8">
        <w:trPr>
          <w:cantSplit/>
          <w:trHeight w:val="374"/>
        </w:trPr>
        <w:tc>
          <w:tcPr>
            <w:tcW w:w="3826" w:type="dxa"/>
          </w:tcPr>
          <w:p w14:paraId="408DAE45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Offering</w:t>
            </w:r>
          </w:p>
        </w:tc>
        <w:tc>
          <w:tcPr>
            <w:tcW w:w="5305" w:type="dxa"/>
            <w:gridSpan w:val="3"/>
          </w:tcPr>
          <w:p w14:paraId="16636E1A" w14:textId="77777777" w:rsidR="00F4488A" w:rsidRPr="002D2F49" w:rsidRDefault="00B02931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Fall</w:t>
            </w:r>
          </w:p>
        </w:tc>
      </w:tr>
      <w:tr w:rsidR="002D2F49" w:rsidRPr="00E92B4C" w14:paraId="73364D78" w14:textId="77777777" w:rsidTr="001953B8">
        <w:trPr>
          <w:cantSplit/>
          <w:trHeight w:val="374"/>
        </w:trPr>
        <w:tc>
          <w:tcPr>
            <w:tcW w:w="3826" w:type="dxa"/>
          </w:tcPr>
          <w:p w14:paraId="76595688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5305" w:type="dxa"/>
            <w:gridSpan w:val="3"/>
          </w:tcPr>
          <w:p w14:paraId="5C5991AC" w14:textId="240F141F" w:rsidR="00F4488A" w:rsidRPr="002D2F49" w:rsidRDefault="00155A19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GB"/>
              </w:rPr>
              <w:t>English</w:t>
            </w:r>
          </w:p>
        </w:tc>
      </w:tr>
      <w:tr w:rsidR="002D2F49" w:rsidRPr="00E92B4C" w14:paraId="28A736A1" w14:textId="77777777" w:rsidTr="001953B8">
        <w:trPr>
          <w:cantSplit/>
          <w:trHeight w:val="374"/>
        </w:trPr>
        <w:tc>
          <w:tcPr>
            <w:tcW w:w="3826" w:type="dxa"/>
          </w:tcPr>
          <w:p w14:paraId="0546FA92" w14:textId="77777777" w:rsidR="00040291" w:rsidRPr="002D2F49" w:rsidRDefault="00040291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Program-specific educational goals</w:t>
            </w:r>
          </w:p>
        </w:tc>
        <w:tc>
          <w:tcPr>
            <w:tcW w:w="5305" w:type="dxa"/>
            <w:gridSpan w:val="3"/>
          </w:tcPr>
          <w:p w14:paraId="0F075DD4" w14:textId="7183AAD2" w:rsidR="00040291" w:rsidRPr="002D2F49" w:rsidRDefault="00155A19" w:rsidP="001953B8">
            <w:pP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</w:pPr>
            <w:r>
              <w:rPr>
                <w:rFonts w:ascii="Henderson BCG Serif" w:hAnsi="Henderson BCG Serif" w:cs="Henderson BCG Serif"/>
                <w:sz w:val="22"/>
                <w:szCs w:val="22"/>
                <w:lang w:val="en-US"/>
              </w:rPr>
              <w:t>LG 1, LG 3</w:t>
            </w:r>
          </w:p>
        </w:tc>
      </w:tr>
      <w:tr w:rsidR="002D2F49" w:rsidRPr="002D2F49" w14:paraId="54043938" w14:textId="77777777" w:rsidTr="001953B8">
        <w:trPr>
          <w:cantSplit/>
          <w:trHeight w:val="374"/>
        </w:trPr>
        <w:tc>
          <w:tcPr>
            <w:tcW w:w="3826" w:type="dxa"/>
          </w:tcPr>
          <w:p w14:paraId="31E78333" w14:textId="77777777" w:rsidR="00F4488A" w:rsidRPr="002D2F49" w:rsidRDefault="00F4488A" w:rsidP="001953B8">
            <w:pPr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</w:pPr>
            <w:r w:rsidRPr="002D2F49">
              <w:rPr>
                <w:rFonts w:ascii="Henderson BCG Serif" w:hAnsi="Henderson BCG Serif" w:cs="Henderson BCG Serif"/>
                <w:b/>
                <w:sz w:val="22"/>
                <w:szCs w:val="22"/>
                <w:lang w:val="en-GB"/>
              </w:rPr>
              <w:t>Range of application</w:t>
            </w:r>
          </w:p>
        </w:tc>
        <w:tc>
          <w:tcPr>
            <w:tcW w:w="5305" w:type="dxa"/>
            <w:gridSpan w:val="3"/>
          </w:tcPr>
          <w:p w14:paraId="19A104A9" w14:textId="77777777" w:rsidR="00841DF4" w:rsidRPr="002D2F49" w:rsidRDefault="00841DF4" w:rsidP="00841DF4">
            <w:pPr>
              <w:rPr>
                <w:rFonts w:ascii="Henderson BCG Serif" w:hAnsi="Henderson BCG Serif" w:cs="Henderson BCG Serif"/>
                <w:sz w:val="22"/>
                <w:szCs w:val="22"/>
              </w:rPr>
            </w:pP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M.Sc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. Mannheim Master in Management, Mannheim Master in Management, </w:t>
            </w: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M.Sc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. </w:t>
            </w:r>
          </w:p>
          <w:p w14:paraId="513C85A9" w14:textId="77777777" w:rsidR="00841DF4" w:rsidRPr="002D2F49" w:rsidRDefault="00841DF4" w:rsidP="00841DF4">
            <w:pPr>
              <w:rPr>
                <w:rFonts w:ascii="Henderson BCG Serif" w:hAnsi="Henderson BCG Serif" w:cs="Henderson BCG Serif"/>
                <w:sz w:val="22"/>
                <w:szCs w:val="22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Wirtschaftspädagogik, </w:t>
            </w: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M.Sc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. Wirtschaftsinformatik, </w:t>
            </w:r>
          </w:p>
          <w:p w14:paraId="19E07C10" w14:textId="77777777" w:rsidR="00F4488A" w:rsidRPr="002D2F49" w:rsidRDefault="00841DF4" w:rsidP="001953B8">
            <w:pPr>
              <w:rPr>
                <w:rFonts w:ascii="Henderson BCG Serif" w:hAnsi="Henderson BCG Serif" w:cs="Henderson BCG Serif"/>
                <w:sz w:val="22"/>
                <w:szCs w:val="22"/>
              </w:rPr>
            </w:pPr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 xml:space="preserve">Diplom BWL, LL.M., </w:t>
            </w:r>
            <w:proofErr w:type="spellStart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M.Sc</w:t>
            </w:r>
            <w:proofErr w:type="spellEnd"/>
            <w:r w:rsidRPr="002D2F49">
              <w:rPr>
                <w:rFonts w:ascii="Henderson BCG Serif" w:hAnsi="Henderson BCG Serif" w:cs="Henderson BCG Serif"/>
                <w:sz w:val="22"/>
                <w:szCs w:val="22"/>
              </w:rPr>
              <w:t>. VWL</w:t>
            </w:r>
          </w:p>
        </w:tc>
      </w:tr>
    </w:tbl>
    <w:p w14:paraId="4113F727" w14:textId="77777777" w:rsidR="00031925" w:rsidRPr="002D2F49" w:rsidRDefault="00031925">
      <w:pPr>
        <w:rPr>
          <w:rFonts w:ascii="Henderson BCG Serif" w:hAnsi="Henderson BCG Serif" w:cs="Henderson BCG Serif"/>
          <w:sz w:val="22"/>
          <w:szCs w:val="22"/>
        </w:rPr>
      </w:pPr>
    </w:p>
    <w:p w14:paraId="35FD7CE5" w14:textId="77777777" w:rsidR="002D2F49" w:rsidRPr="002D2F49" w:rsidRDefault="002D2F49">
      <w:pPr>
        <w:rPr>
          <w:rFonts w:ascii="Henderson BCG Serif" w:hAnsi="Henderson BCG Serif" w:cs="Henderson BCG Serif"/>
          <w:sz w:val="22"/>
          <w:szCs w:val="22"/>
        </w:rPr>
      </w:pPr>
    </w:p>
    <w:p w14:paraId="58AD1BFB" w14:textId="77777777" w:rsidR="002D2F49" w:rsidRPr="002D2F49" w:rsidRDefault="002D2F49">
      <w:pPr>
        <w:rPr>
          <w:rFonts w:ascii="Henderson BCG Serif" w:hAnsi="Henderson BCG Serif" w:cs="Henderson BCG Serif"/>
          <w:sz w:val="22"/>
          <w:szCs w:val="22"/>
        </w:rPr>
      </w:pPr>
    </w:p>
    <w:sectPr w:rsidR="002D2F49" w:rsidRPr="002D2F49" w:rsidSect="00DA2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 BCG Serif">
    <w:altName w:val="Times New Roman"/>
    <w:charset w:val="00"/>
    <w:family w:val="roman"/>
    <w:pitch w:val="variable"/>
    <w:sig w:usb0="A000006F" w:usb1="D000E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8A"/>
    <w:rsid w:val="0002072E"/>
    <w:rsid w:val="00031925"/>
    <w:rsid w:val="00040291"/>
    <w:rsid w:val="00144C99"/>
    <w:rsid w:val="00155A19"/>
    <w:rsid w:val="001E0B04"/>
    <w:rsid w:val="001F4A16"/>
    <w:rsid w:val="002D2F49"/>
    <w:rsid w:val="003A5818"/>
    <w:rsid w:val="004151CF"/>
    <w:rsid w:val="004F6018"/>
    <w:rsid w:val="004F7560"/>
    <w:rsid w:val="005773CE"/>
    <w:rsid w:val="00602BA4"/>
    <w:rsid w:val="006D76C1"/>
    <w:rsid w:val="0079177C"/>
    <w:rsid w:val="007D57AC"/>
    <w:rsid w:val="00841DF4"/>
    <w:rsid w:val="00881382"/>
    <w:rsid w:val="0096631B"/>
    <w:rsid w:val="009A099E"/>
    <w:rsid w:val="009A3FC3"/>
    <w:rsid w:val="00AF16F0"/>
    <w:rsid w:val="00B02931"/>
    <w:rsid w:val="00B653C7"/>
    <w:rsid w:val="00BC383C"/>
    <w:rsid w:val="00BD6C99"/>
    <w:rsid w:val="00DA294E"/>
    <w:rsid w:val="00E92B4C"/>
    <w:rsid w:val="00F4488A"/>
    <w:rsid w:val="00F63168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02A"/>
  <w15:docId w15:val="{D3A460DC-1B1D-4AC5-999C-044D745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B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Dekanat BWL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Hirth</dc:creator>
  <cp:lastModifiedBy>JB</cp:lastModifiedBy>
  <cp:revision>4</cp:revision>
  <dcterms:created xsi:type="dcterms:W3CDTF">2020-05-04T04:40:00Z</dcterms:created>
  <dcterms:modified xsi:type="dcterms:W3CDTF">2020-05-06T17:01:00Z</dcterms:modified>
</cp:coreProperties>
</file>